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КАБИНЕТ МИНИСТРОВ РЕСПУБЛИКИ ТАТАРСТАН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ПОСТАНОВЛЕНИЕ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sz w:val="28"/>
          <w:szCs w:val="28"/>
        </w:rPr>
        <w:t>____________</w:t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 xml:space="preserve">№ </w:t>
      </w:r>
      <w:r>
        <w:rPr>
          <w:sz w:val="28"/>
          <w:szCs w:val="28"/>
        </w:rPr>
        <w:t>___________</w:t>
      </w:r>
    </w:p>
    <w:p>
      <w:pPr>
        <w:pStyle w:val="Normal"/>
        <w:spacing w:lineRule="auto" w:line="240" w:before="0" w:after="0"/>
        <w:ind w:left="0" w:right="5395" w:hanging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</w:r>
    </w:p>
    <w:p>
      <w:pPr>
        <w:pStyle w:val="ConsPlusTitle"/>
        <w:ind w:left="0" w:right="3827" w:hanging="0"/>
        <w:jc w:val="both"/>
        <w:rPr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О внесении изменения в приложение к плану мероприятий («дорожной карте») по реализации </w:t>
      </w:r>
      <w:hyperlink r:id="rId2" w:tgtFrame="https://login.consultant.ru/link/?req=doc&amp;base=LAW&amp;n=478933&amp;dst=100014&amp;field=134&amp;date=21.02.202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</w:rPr>
          <w:t>Концепции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совершенствования контрольной (надзорной) деятельности до 2026 года, утвержденной распоряжением Правительства Российской Федерации от 21 декабря 2023 г.</w:t>
        <w:br/>
        <w:t>№ 3745-р, утвержденному постановлением Кабинета Министров Республики Татарстан от 28.02.2017</w:t>
        <w:br/>
        <w:t>№ 12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1 </w:t>
      </w:r>
      <w:r>
        <w:rPr>
          <w:rFonts w:cs="Times New Roman" w:ascii="Times New Roman" w:hAnsi="Times New Roman"/>
          <w:b w:val="false"/>
          <w:sz w:val="28"/>
          <w:szCs w:val="26"/>
        </w:rPr>
        <w:t xml:space="preserve">«Об утверждении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плана мероприятий («дорожной карты»)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3745-р»</w:t>
      </w:r>
    </w:p>
    <w:p>
      <w:pPr>
        <w:pStyle w:val="ConsPlusTitle"/>
        <w:ind w:left="0" w:right="3827" w:hanging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ConsPlusTitle"/>
        <w:ind w:left="0" w:right="4534" w:hanging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Кабинет Министров Республики Татарстан ПОСТАНОВЛЯЕТ: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1.Внести в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приложение к плану мероприятий («дорожной карте») по реализации </w:t>
      </w:r>
      <w:hyperlink r:id="rId3" w:tgtFrame="https://login.consultant.ru/link/?req=doc&amp;base=LAW&amp;n=478933&amp;dst=100014&amp;field=134&amp;date=21.02.202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</w:rPr>
          <w:t>Концепции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3745-р, утвержденному постановлением Кабинета Министров Республики Татарстан от 28.02.2017 № 12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1 </w:t>
      </w:r>
      <w:r>
        <w:rPr>
          <w:rFonts w:cs="Times New Roman" w:ascii="Times New Roman" w:hAnsi="Times New Roman"/>
          <w:b w:val="false"/>
          <w:sz w:val="28"/>
          <w:szCs w:val="26"/>
        </w:rPr>
        <w:t xml:space="preserve">«Об утверждении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плана мероприятий («дорожной карты»)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» (с изменениями, внесенными постановлениями Кабинета Министров Республики Татарстан </w:t>
      </w:r>
      <w:r>
        <w:rPr>
          <w:rFonts w:cs="Times New Roman" w:ascii="Times New Roman" w:hAnsi="Times New Roman"/>
          <w:sz w:val="28"/>
          <w:szCs w:val="28"/>
        </w:rPr>
        <w:t xml:space="preserve">от 20.01.2020 № 14, от 25.09.2020 № 867, от 01.12.2020 № 1081, от 26.02.2021 № 104, от 16.08.2021 № 723, от 23.10.2021 № 1000, </w:t>
      </w:r>
      <w:r>
        <w:rPr>
          <w:rFonts w:cs="Times New Roman" w:ascii="Times New Roman" w:hAnsi="Times New Roman"/>
          <w:b w:val="false"/>
          <w:sz w:val="28"/>
          <w:szCs w:val="28"/>
        </w:rPr>
        <w:t>от 19.05.2022 № 473, от 28.10.2022 № 1148, от 30.01.2023 № 74, от 06.11.2023 № 1425, 12.09.2024 № 770,  от 21.03.2025 № 166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), изменение, изложив его в новой </w:t>
      </w:r>
      <w:hyperlink r:id="rId4" w:tgtFrame="https://login.consultant.ru/link/?req=doc&amp;base=RLAW363&amp;n=169084&amp;dst=100009&amp;field=134&amp;date=21.02.2025">
        <w:r>
          <w:rPr>
            <w:rFonts w:cs="Times New Roman" w:ascii="Times New Roman" w:hAnsi="Times New Roman"/>
            <w:color w:val="000000"/>
            <w:sz w:val="28"/>
            <w:szCs w:val="28"/>
          </w:rPr>
          <w:t>редакции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(прилагается).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2. Установить, что настоящее постановление вступает в силу с 1 сентября 2026 года.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cs="Times New Roman" w:ascii="Times New Roman" w:hAnsi="Times New Roman"/>
          <w:color w:val="000000"/>
          <w:sz w:val="28"/>
          <w:szCs w:val="28"/>
          <w14:ligatures w14:val="none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Премьер-министр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Республики Татарстан                                                                                   А.В.Песошин</w:t>
      </w:r>
    </w:p>
    <w:p>
      <w:pPr>
        <w:sectPr>
          <w:headerReference w:type="default" r:id="rId5"/>
          <w:type w:val="nextPage"/>
          <w:pgSz w:w="11906" w:h="16838"/>
          <w:pgMar w:left="1134" w:right="567" w:gutter="0" w:header="585" w:top="642" w:footer="0" w:bottom="1134"/>
          <w:pgNumType w:start="1"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cs="Times New Roman" w:ascii="Times New Roman" w:hAnsi="Times New Roman"/>
          <w:color w:val="000000"/>
          <w:sz w:val="28"/>
          <w:szCs w:val="28"/>
          <w14:ligatures w14:val="none"/>
        </w:rPr>
      </w:r>
    </w:p>
    <w:p>
      <w:pPr>
        <w:pStyle w:val="Style21"/>
        <w:spacing w:lineRule="atLeast" w:line="285" w:before="0" w:after="283"/>
        <w:jc w:val="right"/>
        <w:rPr/>
      </w:pPr>
      <w:r>
        <w:rPr/>
        <w:t xml:space="preserve"> </w:t>
      </w:r>
      <w:r>
        <w:rPr>
          <w:b w:val="false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b w:val="false"/>
          <w:sz w:val="28"/>
          <w:szCs w:val="28"/>
        </w:rPr>
        <w:t xml:space="preserve">Приложение 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к плану мероприятий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(«дорожной карте») по реализации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Концепции совершенствования контрольной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(надзорной) деятельности до 2026 года,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утвержденной распоряжением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Правительства Российской Федерации</w:t>
      </w:r>
    </w:p>
    <w:p>
      <w:pPr>
        <w:pStyle w:val="Style21"/>
        <w:spacing w:lineRule="auto" w:line="240" w:before="0" w:after="0"/>
        <w:ind w:left="0" w:hanging="0"/>
        <w:jc w:val="right"/>
        <w:rPr/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 xml:space="preserve">от 21 декабря 2023 г. № 3745-р </w:t>
      </w:r>
    </w:p>
    <w:p>
      <w:pPr>
        <w:pStyle w:val="Style21"/>
        <w:spacing w:lineRule="auto" w:line="240" w:before="0" w:after="0"/>
        <w:ind w:left="0" w:hanging="0"/>
        <w:jc w:val="right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                                                                               </w:t>
      </w:r>
      <w:r>
        <w:rPr>
          <w:b w:val="false"/>
          <w:sz w:val="28"/>
          <w:szCs w:val="28"/>
        </w:rPr>
        <w:t xml:space="preserve">(в редакции постановления Кабинета </w:t>
      </w:r>
    </w:p>
    <w:p>
      <w:pPr>
        <w:pStyle w:val="Style21"/>
        <w:spacing w:lineRule="auto" w:line="240" w:before="0" w:after="0"/>
        <w:ind w:left="0" w:hanging="0"/>
        <w:jc w:val="right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Министров Республики Татарстан</w:t>
      </w:r>
    </w:p>
    <w:p>
      <w:pPr>
        <w:pStyle w:val="Style21"/>
        <w:spacing w:lineRule="auto" w:line="240" w:before="0" w:after="0"/>
        <w:ind w:left="0" w:hanging="0"/>
        <w:jc w:val="right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                                                                                </w:t>
      </w:r>
      <w:r>
        <w:rPr>
          <w:b w:val="false"/>
          <w:sz w:val="28"/>
          <w:szCs w:val="28"/>
        </w:rPr>
        <w:t>от_________ № _______)</w:t>
      </w:r>
    </w:p>
    <w:p>
      <w:pPr>
        <w:pStyle w:val="Style21"/>
        <w:spacing w:lineRule="atLeast" w:line="285" w:before="0" w:after="283"/>
        <w:jc w:val="right"/>
        <w:rPr>
          <w:rFonts w:ascii="Times New Roman" w:hAnsi="Times New Roman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21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  </w:t>
      </w:r>
      <w:bookmarkStart w:id="0" w:name="p43"/>
      <w:bookmarkEnd w:id="0"/>
      <w:r>
        <w:rPr>
          <w:b w:val="false"/>
          <w:bCs w:val="false"/>
          <w:sz w:val="28"/>
          <w:szCs w:val="28"/>
        </w:rPr>
        <w:t>Перечень</w:t>
      </w:r>
    </w:p>
    <w:p>
      <w:pPr>
        <w:pStyle w:val="Style21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 xml:space="preserve">видов государственного контроля (надзора), осуществляемых исполнительными органами государственной власти Республики Татарстан </w:t>
      </w:r>
    </w:p>
    <w:p>
      <w:pPr>
        <w:pStyle w:val="Style21"/>
        <w:spacing w:lineRule="auto" w:line="240" w:before="0" w:after="283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  </w:t>
      </w:r>
    </w:p>
    <w:tbl>
      <w:tblPr>
        <w:tblW w:w="10150" w:type="dxa"/>
        <w:jc w:val="left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0"/>
        <w:gridCol w:w="5210"/>
        <w:gridCol w:w="4310"/>
      </w:tblGrid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п/п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Виды контроля (надзора)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исполнительного органа государственной власти Республики Татарстан </w:t>
            </w:r>
          </w:p>
        </w:tc>
      </w:tr>
      <w:tr>
        <w:trPr>
          <w:trHeight w:val="430" w:hRule="atLeast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>
        <w:trPr/>
        <w:tc>
          <w:tcPr>
            <w:tcW w:w="101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Региональный государственный контроль (надзор) </w:t>
            </w:r>
          </w:p>
        </w:tc>
      </w:tr>
      <w:tr>
        <w:trPr>
          <w:trHeight w:val="1200" w:hRule="atLeast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розничной продажи алкогольной и спиртосодержащей продукции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Государственная инспекция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 </w:t>
            </w:r>
          </w:p>
        </w:tc>
      </w:tr>
      <w:tr>
        <w:trPr>
          <w:trHeight w:val="1612" w:hRule="atLeast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продажи безалкогольных тонизирующих напитков (в том числе энергетических)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1064" w:hRule="atLeast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состоянием Музейного фонда Российской Федерации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культуры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Комитет Республики Татарстан по охране объектов культурного наследия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экологический контроль (надзор)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экологии и природных ресурсов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геологический контроль (надзор)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сфере перевозок пассажиров и багажа легковым такси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транспорта и дорожного хозяйства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на автомобильном транспорте, городском наземном электрическом транспорте и в дорожном хозяйстве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приемом на работу инвалидов в пределах установленной квоты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труда, занятости и социальной защиты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сфере социального обслуживания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охраны и использования особо охраняемых природных территорий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Государственный комитет Республики Татарстан по биологическим ресурсам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технического состояния и эксплуатации самоходных машин и других видов техники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Управление по надзору за техническим состоянием самоходных машин и других видов техники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технического состояния и эксплуатации аттракционов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регулирования тарифов в сфере обращения с твердыми коммунальными отходами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Государственный комитет Республики Татарстан по тарифам </w:t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регулирования цен (тарифов) в сфере теплоснабжения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регулирования тарифов в сфере водоснабжения и водоотведения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сферах естественных монополий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19.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регулируемыми государством ценами (тарифами) в электроэнергетике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установлением и (или) применением регулируемых государством цен (тарифов) в области газоснабжения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1840" w:hRule="atLeast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22. </w:t>
            </w:r>
          </w:p>
        </w:tc>
        <w:tc>
          <w:tcPr>
            <w:tcW w:w="52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>Региональный государственный контроль (надзор) за реализацией инвестиционных программ организаций, осуществляющих регулируемые виды деятельности в сфере теплоснабжения (за исключением инвестиционных программ, утверждаемых в соответствии с законодательством Российской Федерации об электроэнергетике)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23.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жилищный контроль (надзор)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Государственная жилищная инспекция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лицензионный контроль за осуществлением предпринимательской деятельности по управлению многоквартирными домами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строительный надзор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Инспекция государственного строительного надзора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/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долевого строительства многоквартирных домов и (или) иных объектов недвижимости в отдельных муниципальных образованиях, в отношении которых приостановлено действие </w:t>
            </w:r>
            <w:hyperlink r:id="rId6">
              <w:r>
                <w:rPr>
                  <w:rStyle w:val="-"/>
                  <w:rFonts w:ascii="Times New Roman" w:hAnsi="Times New Roman"/>
                  <w:b w:val="false"/>
                  <w:strike w:val="false"/>
                  <w:dstrike w:val="false"/>
                  <w:color w:val="0000FF"/>
                  <w:sz w:val="28"/>
                  <w:szCs w:val="28"/>
                  <w:u w:val="none"/>
                  <w:effect w:val="none"/>
                </w:rPr>
                <w:t>Закона</w:t>
              </w:r>
            </w:hyperlink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 Республики Татарстан от 27 декабря 2007 года N 66-ЗРТ "О наделении органов местного самоуправления муниципальных районов и городских округов Республики Татарстан государственными 26. полномочиями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дома"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/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деятельностью жилищно-строительного кооператива, связанной с привлечением средств членов кооператива для строительства многоквартирного дома в отдельных муниципальных образованиях, в отношении которых приостановлено действие </w:t>
            </w:r>
            <w:hyperlink r:id="rId7">
              <w:r>
                <w:rPr>
                  <w:rStyle w:val="-"/>
                  <w:rFonts w:ascii="Times New Roman" w:hAnsi="Times New Roman"/>
                  <w:b w:val="false"/>
                  <w:strike w:val="false"/>
                  <w:dstrike w:val="false"/>
                  <w:color w:val="0000FF"/>
                  <w:sz w:val="28"/>
                  <w:szCs w:val="28"/>
                  <w:u w:val="none"/>
                  <w:effect w:val="none"/>
                </w:rPr>
                <w:t>Закона</w:t>
              </w:r>
            </w:hyperlink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 Республики Татарстан от 27 декабря 2007 года N 66-ЗРТ "О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дома"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28. 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соблюдением законодательства об архивном деле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Государственный комитет Республики Татарстан по архивному делу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29.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надзор в области защиты населения и территорий от чрезвычайных ситуаций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по делам гражданской обороны и чрезвычайным ситуациям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30.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области обращения с животными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Главное управление ветеринарии Кабинета Министров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по делам молодежи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32.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Региональный государственный контроль (надзор) в сфере туристской индустрии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Государственный комитет Республики Татарстан по туризму </w:t>
            </w:r>
          </w:p>
        </w:tc>
      </w:tr>
      <w:tr>
        <w:trPr/>
        <w:tc>
          <w:tcPr>
            <w:tcW w:w="101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Федеральный государственный контроль (надзор), полномочия по осуществлению которого переданы органам государственной власти субъектов Российской Федерации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лицензионный контроль (надзор) за деятельностью по заготовке, хранению, переработке и реализации лома черных металлов, цветных металлов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экономики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контроль (надзор) в сфере образования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образования и науки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лесной контроль (надзор) на землях лесного фонда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Министерство лесного хозяйства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охотничий контроль (надзор) </w:t>
            </w:r>
          </w:p>
        </w:tc>
        <w:tc>
          <w:tcPr>
            <w:tcW w:w="4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Государственный комитет Республики Татарстан по биологическим ресурсам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контроль (надзор) в области охраны, воспроизводства и использования объектов животного мира и среды их обитания </w:t>
            </w:r>
          </w:p>
        </w:tc>
        <w:tc>
          <w:tcPr>
            <w:tcW w:w="4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федерального значения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Комитет по охране объектов культурного наследия Республики Татарстан </w:t>
            </w:r>
          </w:p>
        </w:tc>
      </w:tr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Федеральный государственный контроль (надзор) за соблюдением правил технической эксплуатации внеуличного транспорта и правил пользования внеуличным транспортом 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40"/>
              <w:widowControl w:val="false"/>
              <w:spacing w:lineRule="auto" w:line="240" w:before="0" w:after="283"/>
              <w:ind w:left="60" w:right="60" w:hanging="0"/>
              <w:jc w:val="both"/>
              <w:rPr>
                <w:rFonts w:ascii="Times New Roman" w:hAnsi="Times New Roman"/>
                <w:b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sz w:val="28"/>
                <w:szCs w:val="28"/>
              </w:rPr>
              <w:t xml:space="preserve">Управление по надзору за техническим состоянием самоходных машин и других видов техники Республики Татарстан </w:t>
            </w:r>
          </w:p>
        </w:tc>
      </w:tr>
    </w:tbl>
    <w:p>
      <w:pPr>
        <w:pStyle w:val="Style21"/>
        <w:spacing w:lineRule="auto" w:line="240" w:before="0" w:after="283"/>
        <w:jc w:val="both"/>
        <w:rPr>
          <w:rFonts w:ascii="Times New Roman" w:hAnsi="Times New Roman"/>
          <w:sz w:val="28"/>
          <w:szCs w:val="28"/>
        </w:rPr>
      </w:pPr>
      <w:r>
        <w:rPr/>
        <w:t xml:space="preserve">    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cs="Times New Roman" w:ascii="Times New Roman" w:hAnsi="Times New Roman"/>
          <w:b/>
          <w:sz w:val="28"/>
          <w:szCs w:val="26"/>
        </w:rPr>
        <w:t xml:space="preserve">ПОЯСНИТЕЛЬНАЯ ЗАПИСКА </w:t>
      </w:r>
    </w:p>
    <w:p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cs="Times New Roman" w:ascii="Times New Roman" w:hAnsi="Times New Roman"/>
          <w:b/>
          <w:bCs/>
          <w:sz w:val="28"/>
          <w:szCs w:val="26"/>
        </w:rPr>
        <w:t>к проекту постановления Кабинета Министров Республики Татарстан «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приложение к плану мероприятий («дорожной карте») по реализации </w:t>
      </w:r>
      <w:hyperlink r:id="rId8" w:tgtFrame="https://login.consultant.ru/link/?req=doc&amp;base=LAW&amp;n=478933&amp;dst=100014&amp;field=134&amp;date=21.02.2025">
        <w:r>
          <w:rPr>
            <w:rFonts w:cs="Times New Roman" w:ascii="Times New Roman" w:hAnsi="Times New Roman"/>
            <w:b/>
            <w:bCs/>
            <w:color w:val="000000"/>
            <w:sz w:val="28"/>
            <w:szCs w:val="28"/>
          </w:rPr>
          <w:t>Концепции</w:t>
        </w:r>
      </w:hyperlink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3745-р, утвержденному постановлением Кабинета Министров Республики Татарстан от 28.02.2017</w:t>
        <w:br/>
        <w:t>№ 12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1 </w:t>
      </w:r>
      <w:r>
        <w:rPr>
          <w:rFonts w:cs="Times New Roman" w:ascii="Times New Roman" w:hAnsi="Times New Roman"/>
          <w:b/>
          <w:bCs/>
          <w:sz w:val="28"/>
          <w:szCs w:val="26"/>
        </w:rPr>
        <w:t xml:space="preserve">«Об утверждении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плана мероприятий («дорожной карты»)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3745-р»</w:t>
      </w:r>
    </w:p>
    <w:p>
      <w:pPr>
        <w:pStyle w:val="ConsPlusNormal"/>
        <w:ind w:left="0" w:right="0" w:firstLine="540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cs="Times New Roman" w:ascii="Times New Roman" w:hAnsi="Times New Roman"/>
          <w:b/>
          <w:sz w:val="28"/>
          <w:szCs w:val="26"/>
        </w:rPr>
      </w:r>
    </w:p>
    <w:p>
      <w:pPr>
        <w:pStyle w:val="ConsPlusNormal"/>
        <w:ind w:left="0" w:right="0" w:firstLine="68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 постановления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Кабинета Министров Республики Татарстан </w:t>
      </w:r>
      <w:r>
        <w:rPr>
          <w:rFonts w:cs="Times New Roman" w:ascii="Times New Roman" w:hAnsi="Times New Roman"/>
          <w:b w:val="false"/>
          <w:bCs w:val="false"/>
          <w:sz w:val="28"/>
          <w:szCs w:val="26"/>
        </w:rPr>
        <w:t>«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О внесении изменения в приложение к плану мероприятий («дорожной карте») по реализации </w:t>
      </w:r>
      <w:hyperlink r:id="rId9" w:tgtFrame="https://login.consultant.ru/link/?req=doc&amp;base=LAW&amp;n=478933&amp;dst=100014&amp;field=134&amp;date=21.02.202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</w:rPr>
          <w:t>Концепции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3745-р, утвержденному постановлением Кабинета Министров Республики Татарстан от 28.02.2017 № 12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1 </w:t>
      </w:r>
      <w:r>
        <w:rPr>
          <w:rFonts w:cs="Times New Roman" w:ascii="Times New Roman" w:hAnsi="Times New Roman"/>
          <w:b w:val="false"/>
          <w:bCs w:val="false"/>
          <w:sz w:val="28"/>
          <w:szCs w:val="26"/>
        </w:rPr>
        <w:t xml:space="preserve">«Об утверждении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плана мероприятий («дорожной карты»)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3745-р»</w:t>
      </w:r>
      <w:r>
        <w:rPr>
          <w:rFonts w:cs="Times New Roman" w:ascii="Times New Roman" w:hAnsi="Times New Roman"/>
          <w:sz w:val="28"/>
          <w:szCs w:val="26"/>
        </w:rPr>
        <w:t xml:space="preserve"> (далее – проект)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подготовлен </w:t>
      </w:r>
      <w:r>
        <w:rPr>
          <w:rFonts w:cs="Times New Roman" w:ascii="Times New Roman" w:hAnsi="Times New Roman"/>
          <w:sz w:val="28"/>
          <w:szCs w:val="28"/>
        </w:rPr>
        <w:t>в целях приведения в соответствие с федеральным законодательством.</w:t>
      </w:r>
    </w:p>
    <w:p>
      <w:pPr>
        <w:pStyle w:val="ConsPlusNormal"/>
        <w:ind w:left="0" w:right="0" w:firstLine="68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Федеральным законом от 29 декабря 2025 года № 576-ФЗ внесены изменения в Федеральный закон от 27 июля 2010 года № 190-ФЗ «О теплоснабжении» и Федеральный закон от 7 декабря 2011 года № 416-ФЗ «О водоснабжении и водоотведении».</w:t>
      </w:r>
    </w:p>
    <w:p>
      <w:pPr>
        <w:pStyle w:val="ConsPlusNormal"/>
        <w:ind w:left="0" w:right="0" w:firstLine="68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Согласно новой редакции части 4.11 статьи 23 Федерального закона «О теплоснабжении» региональный государственный контроль (надзор) за реализацией инвестиционных программ в сфере теплоснабжения осуществляется исполнительным органом субъекта Российской Федерации, уполномоченным на осуществление указанного регионального государственного контроля (надзора) (вступает в силу с 1 сентября 2026 года). </w:t>
      </w:r>
    </w:p>
    <w:p>
      <w:pPr>
        <w:pStyle w:val="ConsPlusNormal"/>
        <w:ind w:left="0" w:right="0" w:firstLine="68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Представленным проектом предлагается дополнить перечень видов государственного контроля (надзора), осуществляемых исполнительными органами государственной власти Республики Татарстан новым видом регионального государственного контроля (надзора): </w:t>
      </w:r>
    </w:p>
    <w:p>
      <w:pPr>
        <w:pStyle w:val="ConsPlusNormal"/>
        <w:ind w:left="0" w:right="0" w:firstLine="680"/>
        <w:jc w:val="both"/>
        <w:rPr>
          <w:rFonts w:ascii="Times New Roman" w:hAnsi="Times New Roman" w:eastAsia="Times New Roman" w:cs="Times New Roman"/>
          <w:b w:val="fals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b w:val="false"/>
          <w:sz w:val="28"/>
          <w:szCs w:val="28"/>
          <w:lang w:eastAsia="ru-RU"/>
        </w:rPr>
        <w:t xml:space="preserve"> региональный государственный контроль (надзор) за реализацией инвестиционных программ организаций, осуществляющих регулируемые виды деятельности в сфере теплоснабжения (за исключением инвестиционных программ, утверждаемых в соответствии с законодательством Российской Федерации об электроэнергетике) (будет осуществляться Государственным комитетом Республики Татарстан по тарифам).</w:t>
      </w:r>
    </w:p>
    <w:p>
      <w:pPr>
        <w:pStyle w:val="Normal"/>
        <w:shd w:val="clear" w:color="auto" w:fill="FFFFFF"/>
        <w:spacing w:lineRule="auto" w:line="240" w:before="0" w:after="0"/>
        <w:ind w:left="0" w:right="14"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Принятие данного постановления не повлечет выделения дополнительных денежных средств из бюджета Республики Татарстан, а также не потребует признания утратившими силу отдельных актов Кабинета Министров Республики Татарстан</w:t>
      </w:r>
      <w:r>
        <w:rPr>
          <w:sz w:val="28"/>
          <w:szCs w:val="28"/>
        </w:rPr>
        <w:t>.</w:t>
      </w:r>
    </w:p>
    <w:sectPr>
      <w:headerReference w:type="default" r:id="rId10"/>
      <w:headerReference w:type="first" r:id="rId11"/>
      <w:type w:val="nextPage"/>
      <w:pgSz w:w="11906" w:h="16838"/>
      <w:pgMar w:left="1134" w:right="567" w:gutter="0" w:header="585" w:top="642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spacing w:before="0" w:after="200"/>
      <w:jc w:val="center"/>
      <w:rPr/>
    </w:pPr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5</w:t>
    </w:r>
    <w:r>
      <w:rPr>
        <w:sz w:val="28"/>
        <w:szCs w:val="28"/>
        <w:rFonts w:cs="Times New Roman"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Mangal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val="ru-RU" w:bidi="ru-RU"/>
    </w:rPr>
  </w:style>
  <w:style w:type="character" w:styleId="WW8Num2z1">
    <w:name w:val="WW8Num2z1"/>
    <w:qFormat/>
    <w:rPr>
      <w:lang w:val="ru-RU" w:bidi="ru-RU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0"/>
      <w:szCs w:val="20"/>
      <w:lang w:val="ru-RU" w:bidi="ru-RU"/>
    </w:rPr>
  </w:style>
  <w:style w:type="character" w:styleId="WW8Num3z1">
    <w:name w:val="WW8Num3z1"/>
    <w:qFormat/>
    <w:rPr>
      <w:lang w:val="ru-RU" w:bidi="ru-RU"/>
    </w:rPr>
  </w:style>
  <w:style w:type="character" w:styleId="WW8Num4z0">
    <w:name w:val="WW8Num4z0"/>
    <w:qFormat/>
    <w:rPr>
      <w:rFonts w:ascii="Times New Roman" w:hAnsi="Times New Roman" w:eastAsia="Times New Roman" w:cs="Times New Roman"/>
      <w:sz w:val="20"/>
      <w:szCs w:val="20"/>
      <w:lang w:val="ru-RU" w:bidi="ru-RU"/>
    </w:rPr>
  </w:style>
  <w:style w:type="character" w:styleId="WW8Num4z1">
    <w:name w:val="WW8Num4z1"/>
    <w:qFormat/>
    <w:rPr>
      <w:lang w:val="ru-RU" w:bidi="ru-RU"/>
    </w:rPr>
  </w:style>
  <w:style w:type="character" w:styleId="Style9">
    <w:name w:val="Основной шрифт абзаца"/>
    <w:qFormat/>
    <w:rPr/>
  </w:style>
  <w:style w:type="character" w:styleId="Style10">
    <w:name w:val="Текст сноски Знак"/>
    <w:qFormat/>
    <w:rPr>
      <w:rFonts w:ascii="Times New Roman" w:hAnsi="Times New Roman" w:eastAsia="Times New Roman" w:cs="Times New Roman"/>
      <w:lang w:val="en-US"/>
    </w:rPr>
  </w:style>
  <w:style w:type="character" w:styleId="Style11">
    <w:name w:val="Текст выноски Знак"/>
    <w:qFormat/>
    <w:rPr>
      <w:rFonts w:ascii="Tahoma" w:hAnsi="Tahoma" w:cs="Tahoma"/>
      <w:sz w:val="16"/>
      <w:szCs w:val="16"/>
    </w:rPr>
  </w:style>
  <w:style w:type="character" w:styleId="Apple-converted-space">
    <w:name w:val="apple-converted-space"/>
    <w:basedOn w:val="Style9"/>
    <w:qFormat/>
    <w:rPr/>
  </w:style>
  <w:style w:type="character" w:styleId="Style12">
    <w:name w:val="Верхний колонтитул Знак"/>
    <w:qFormat/>
    <w:rPr>
      <w:sz w:val="22"/>
      <w:szCs w:val="22"/>
    </w:rPr>
  </w:style>
  <w:style w:type="character" w:styleId="Style13">
    <w:name w:val="Нижний колонтитул Знак"/>
    <w:qFormat/>
    <w:rPr>
      <w:sz w:val="22"/>
      <w:szCs w:val="22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/>
  </w:style>
  <w:style w:type="character" w:styleId="Style16">
    <w:name w:val="Тема примечания Знак"/>
    <w:qFormat/>
    <w:rPr>
      <w:b/>
      <w:bCs/>
    </w:rPr>
  </w:style>
  <w:style w:type="character" w:styleId="Style17">
    <w:name w:val="Основной текст Знак"/>
    <w:qFormat/>
    <w:rPr>
      <w:rFonts w:ascii="Times New Roman" w:hAnsi="Times New Roman" w:eastAsia="Times New Roman" w:cs="Times New Roman"/>
      <w:sz w:val="21"/>
      <w:szCs w:val="21"/>
      <w:lang w:bidi="ru-RU"/>
    </w:rPr>
  </w:style>
  <w:style w:type="character" w:styleId="Style18">
    <w:name w:val="Текст концевой сноски Знак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9">
    <w:name w:val="FollowedHyperlink"/>
    <w:rPr>
      <w:color w:val="800000"/>
      <w:u w:val="single"/>
      <w:lang w:val="zxx" w:eastAsia="zxx" w:bidi="zxx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1"/>
      <w:szCs w:val="21"/>
      <w:lang w:bidi="ru-RU"/>
    </w:rPr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uiPriority w:val="35"/>
    <w:semiHidden/>
    <w:unhideWhenUsed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Mangal"/>
      <w:color w:val="auto"/>
      <w:kern w:val="0"/>
      <w:sz w:val="20"/>
      <w:szCs w:val="20"/>
      <w:lang w:val="ru-RU" w:eastAsia="zh-CN" w:bidi="hi-IN"/>
    </w:rPr>
  </w:style>
  <w:style w:type="paragraph" w:styleId="Style25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6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Style29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Style30">
    <w:name w:val="Footnote Text"/>
    <w:basedOn w:val="Normal"/>
    <w:uiPriority w:val="99"/>
    <w:semiHidden/>
    <w:unhideWhenUsed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Style31">
    <w:name w:val="Endnote Text"/>
    <w:basedOn w:val="Normal"/>
    <w:uiPriority w:val="99"/>
    <w:semiHidden/>
    <w:unhideWhenUsed/>
    <w:pPr/>
    <w:rPr>
      <w:sz w:val="20"/>
      <w:szCs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32">
    <w:name w:val="Index Heading"/>
    <w:basedOn w:val="Style20"/>
    <w:pPr/>
    <w:rPr/>
  </w:style>
  <w:style w:type="paragraph" w:styleId="Style33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Mangal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zh-CN" w:bidi="ar-SA"/>
    </w:rPr>
  </w:style>
  <w:style w:type="paragraph" w:styleId="ConsPlusTitlePage">
    <w:name w:val="ConsPlusTitlePage"/>
    <w:qFormat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zh-CN" w:bidi="ar-SA"/>
    </w:rPr>
  </w:style>
  <w:style w:type="paragraph" w:styleId="Style34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en-US"/>
    </w:rPr>
  </w:style>
  <w:style w:type="paragraph" w:styleId="Style35">
    <w:name w:val="Таблицы (моноширинный)"/>
    <w:basedOn w:val="Normal"/>
    <w:qFormat/>
    <w:pPr>
      <w:widowControl w:val="false"/>
      <w:spacing w:lineRule="auto" w:line="240" w:before="0" w:after="0"/>
    </w:pPr>
    <w:rPr>
      <w:rFonts w:ascii="Courier New" w:hAnsi="Courier New" w:eastAsia="Times New Roman" w:cs="Courier New"/>
      <w:sz w:val="24"/>
      <w:szCs w:val="24"/>
    </w:rPr>
  </w:style>
  <w:style w:type="paragraph" w:styleId="Style36">
    <w:name w:val="Текст примечания"/>
    <w:basedOn w:val="Normal"/>
    <w:qFormat/>
    <w:pPr/>
    <w:rPr>
      <w:sz w:val="20"/>
      <w:szCs w:val="20"/>
      <w:lang w:val="en-US"/>
    </w:rPr>
  </w:style>
  <w:style w:type="paragraph" w:styleId="Style37">
    <w:name w:val="Тема примечания"/>
    <w:basedOn w:val="Style36"/>
    <w:qFormat/>
    <w:pPr/>
    <w:rPr>
      <w:b/>
      <w:bCs/>
      <w:lang w:val="en-US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bidi="ru-RU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Style38">
    <w:name w:val="Нормальный (таблица)"/>
    <w:basedOn w:val="Normal"/>
    <w:qFormat/>
    <w:pPr>
      <w:widowControl w:val="false"/>
      <w:spacing w:lineRule="auto" w:line="240" w:before="0" w:after="0"/>
      <w:jc w:val="both"/>
    </w:pPr>
    <w:rPr>
      <w:rFonts w:ascii="Arial" w:hAnsi="Arial" w:eastAsia="Times New Roman" w:cs="Arial"/>
      <w:sz w:val="24"/>
      <w:szCs w:val="24"/>
    </w:rPr>
  </w:style>
  <w:style w:type="paragraph" w:styleId="Style39">
    <w:name w:val="Прижатый влево"/>
    <w:basedOn w:val="Normal"/>
    <w:qFormat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40">
    <w:name w:val="Содержимое таблицы"/>
    <w:basedOn w:val="Normal"/>
    <w:qFormat/>
    <w:pPr>
      <w:widowControl w:val="false"/>
      <w:suppressLineNumbers/>
    </w:pPr>
    <w:rPr/>
  </w:style>
  <w:style w:type="paragraph" w:styleId="Style41">
    <w:name w:val="Заголовок таблицы"/>
    <w:basedOn w:val="Style4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78933&amp;dst=100014&amp;field=134&amp;date=21.02.2025" TargetMode="External"/><Relationship Id="rId3" Type="http://schemas.openxmlformats.org/officeDocument/2006/relationships/hyperlink" Target="https://login.consultant.ru/link/?req=doc&amp;base=LAW&amp;n=478933&amp;dst=100014&amp;field=134&amp;date=21.02.2025" TargetMode="External"/><Relationship Id="rId4" Type="http://schemas.openxmlformats.org/officeDocument/2006/relationships/hyperlink" Target="https://login.consultant.ru/link/?req=doc&amp;base=RLAW363&amp;n=169084&amp;dst=100009&amp;field=134&amp;date=21.02.2025" TargetMode="External"/><Relationship Id="rId5" Type="http://schemas.openxmlformats.org/officeDocument/2006/relationships/header" Target="header1.xml"/><Relationship Id="rId6" Type="http://schemas.openxmlformats.org/officeDocument/2006/relationships/hyperlink" Target="https://login.consultant.ru/link/?req=doc&amp;base=RLAW363&amp;n=178457&amp;date=05.08.2026" TargetMode="External"/><Relationship Id="rId7" Type="http://schemas.openxmlformats.org/officeDocument/2006/relationships/hyperlink" Target="https://login.consultant.ru/link/?req=doc&amp;base=RLAW363&amp;n=178457&amp;date=05.08.2026" TargetMode="External"/><Relationship Id="rId8" Type="http://schemas.openxmlformats.org/officeDocument/2006/relationships/hyperlink" Target="https://login.consultant.ru/link/?req=doc&amp;base=LAW&amp;n=478933&amp;dst=100014&amp;field=134&amp;date=21.02.2025" TargetMode="External"/><Relationship Id="rId9" Type="http://schemas.openxmlformats.org/officeDocument/2006/relationships/hyperlink" Target="https://login.consultant.ru/link/?req=doc&amp;base=LAW&amp;n=478933&amp;dst=100014&amp;field=134&amp;date=21.02.2025" TargetMode="Externa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LibreOffice/7.5.6.2$Linux_X86_64 LibreOffice_project/50$Build-2</Application>
  <AppVersion>15.0000</AppVersion>
  <Pages>9</Pages>
  <Words>1509</Words>
  <Characters>11813</Characters>
  <CharactersWithSpaces>14313</CharactersWithSpaces>
  <Paragraphs>143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2022-04-13T14:23:00Z</dcterms:created>
  <dc:creator>Ширеев</dc:creator>
  <dc:description/>
  <dc:language>ru-RU</dc:language>
  <cp:lastModifiedBy/>
  <dcterms:modified xsi:type="dcterms:W3CDTF">2026-08-17T17:28:46Z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