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ПРОЕКТ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КАБИНЕТ МИНИСТРОВ РЕСПУБЛИКИ ТАТАРСТАН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от_____________                                                                             №___________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right="470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102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в пост</w:t>
      </w:r>
      <w:r>
        <w:rPr>
          <w:rFonts w:ascii="Times New Roman" w:hAnsi="Times New Roman"/>
          <w:sz w:val="28"/>
          <w:szCs w:val="28"/>
          <w:highlight w:val="white"/>
        </w:rPr>
        <w:t xml:space="preserve">ановление Кабинета Министров Республики Татарстан от 29.08.2013 № 614 «О грантах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Кабинет Министров Республики Татарстан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40"/>
        <w:numPr>
          <w:ilvl w:val="0"/>
          <w:numId w:val="1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Внести в постановление Кабинета М</w:t>
      </w:r>
      <w:r>
        <w:rPr>
          <w:rFonts w:ascii="Times New Roman" w:hAnsi="Times New Roman" w:eastAsia="Times New Roman"/>
          <w:sz w:val="28"/>
          <w:szCs w:val="28"/>
        </w:rPr>
        <w:t xml:space="preserve">инистров Республики Татарстан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от 29.08.2013 № 614 «О грантах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Татарстан» </w:t>
      </w:r>
      <w:r>
        <w:rPr>
          <w:rFonts w:ascii="Times New Roman" w:hAnsi="Times New Roman" w:eastAsia="Times New Roman"/>
          <w:sz w:val="28"/>
          <w:szCs w:val="28"/>
        </w:rPr>
        <w:br/>
        <w:t xml:space="preserve">(с изменениями, внесенными постановлениями Кабинета Министров Республики Татарстан от 11.11.2013 № 866, от 08.05.2014 № 304, от 17.05.2014 № 330,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от 26.12.2014 № 1032, от 17.02.2016 № 98, от 30.09.2017 № 733, от 20.03.2018</w:t>
      </w:r>
      <w:r>
        <w:rPr>
          <w:rFonts w:ascii="Times New Roman" w:hAnsi="Times New Roman" w:eastAsia="Times New Roman"/>
          <w:sz w:val="28"/>
          <w:szCs w:val="28"/>
        </w:rPr>
        <w:t xml:space="preserve"> № 159, от 08.04.2019 № 274, от 21.05.2019 № 427, от 02.10.2019 № 886, от 31.10.2019 № 985, от 24.12.2019 № 1186, от 25.02.2020 № 140, от 01.04.2020 № 248, от 27.05.2020 № 428, от 31.03.2022 № 295, от 29.09.2022 № 1045, от 29.12.2022 № 1447, от 30.03.2023 </w:t>
      </w:r>
      <w:r>
        <w:rPr>
          <w:rFonts w:ascii="Times New Roman" w:hAnsi="Times New Roman" w:eastAsia="Times New Roman"/>
          <w:sz w:val="28"/>
          <w:szCs w:val="28"/>
        </w:rPr>
        <w:br/>
        <w:t xml:space="preserve">№ 380, от 22.06.2023 № 741, от 14.08.2023 № 980, от 01.03.2024 № 109, от 25.07.2024 № 592, от 02.12.2024 № 1086), следующие изменения: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наименовании слова «О грантах сельским поселениям и городским поселениям, образованным на основе поселка городского типа, не являющимся» заменить словами «О республиканско</w:t>
      </w:r>
      <w:r>
        <w:rPr>
          <w:rFonts w:ascii="Times New Roman" w:hAnsi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sz w:val="28"/>
          <w:szCs w:val="28"/>
        </w:rPr>
        <w:t xml:space="preserve"> конкурс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среди сельских поселений и городских поселений, образованных на основе поселка городского типа, не являющихся»;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преамбулу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«В целях стимулирования деятельности органов местного самоуправления сельских пос</w:t>
      </w:r>
      <w:r>
        <w:rPr>
          <w:rFonts w:ascii="Times New Roman" w:hAnsi="Times New Roman" w:eastAsia="Times New Roman"/>
          <w:sz w:val="28"/>
          <w:szCs w:val="28"/>
        </w:rPr>
        <w:t xml:space="preserve">елений 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для повышения качества жизни населения Кабинет Министров Республики Татарстан постановляет:»;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1 признать утратившим силу;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пункте 2: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абзац второй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«состав организаци</w:t>
      </w:r>
      <w:r>
        <w:rPr>
          <w:rFonts w:ascii="Times New Roman" w:hAnsi="Times New Roman" w:eastAsia="Times New Roman"/>
          <w:sz w:val="28"/>
          <w:szCs w:val="28"/>
        </w:rPr>
        <w:t xml:space="preserve">онного комитета по проведению республиканского конкурса среди сельских поселен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ий 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 (далее – Конкурс);»;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абзац четвертый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«Порядок 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bookmarkStart w:id="0" w:name="_GoBack"/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bookmarkEnd w:id="0"/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Татарстан.»;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пункт 2¹ признать утратившим силу;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С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остав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организационного комитета по проведению республиканского конкурса на предоставлен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ие грантов сельским поселениям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городским поселениям, образованным на 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снове поселка городского типа,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 являющимся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административными центрами муниципальных районов Республики Татарстан, утвержденн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указанным постановлением: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наименовании</w:t>
      </w:r>
      <w:r>
        <w:rPr>
          <w:rFonts w:ascii="Times New Roman" w:hAnsi="Times New Roman" w:eastAsia="Times New Roman"/>
          <w:sz w:val="28"/>
          <w:szCs w:val="28"/>
        </w:rPr>
        <w:t xml:space="preserve"> слова «на предоставление грантов сельским поселениям и городским поселениям, образованным на основе поселка городского типа, не являющимся» заменить словами «среди сельских поселений и городских поселений, </w:t>
      </w:r>
      <w:r>
        <w:rPr>
          <w:rFonts w:ascii="Times New Roman" w:hAnsi="Times New Roman" w:eastAsia="Times New Roman"/>
          <w:sz w:val="28"/>
          <w:szCs w:val="28"/>
        </w:rPr>
        <w:t xml:space="preserve">образованных на основе поселка городского типа, не являющихся»;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eastAsia="Times New Roman"/>
          <w:sz w:val="28"/>
          <w:szCs w:val="28"/>
        </w:rPr>
        <w:t xml:space="preserve">комитета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Г.Ю. Герасимову;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ввести в состав </w:t>
      </w:r>
      <w:r>
        <w:rPr>
          <w:rFonts w:ascii="Times New Roman" w:hAnsi="Times New Roman" w:eastAsia="Times New Roman"/>
          <w:sz w:val="28"/>
          <w:szCs w:val="28"/>
        </w:rPr>
        <w:t xml:space="preserve">комитета Анфимову Аллу Леонидовну – заместителя министра финансов Республики Татарстан;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Положении об организационном комитете по проведению </w:t>
      </w:r>
      <w:r>
        <w:rPr>
          <w:rFonts w:ascii="Times New Roman" w:hAnsi="Times New Roman" w:eastAsia="Times New Roman"/>
          <w:sz w:val="28"/>
          <w:szCs w:val="28"/>
        </w:rPr>
        <w:t xml:space="preserve">республиканского конкурса </w:t>
      </w:r>
      <w:r>
        <w:rPr>
          <w:rFonts w:ascii="Times New Roman" w:hAnsi="Times New Roman" w:eastAsia="Times New Roman"/>
          <w:sz w:val="28"/>
          <w:szCs w:val="28"/>
        </w:rPr>
        <w:t xml:space="preserve">на предоставление грантов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Татарстан, утвержденн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м указанным постановлением: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наименовании слова «на предоставление грантов сельским поселениям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и городским поселениям, образованным на основе поселка городского типа, не являющимся» заменить словами «среди сельских поселений и городских поселений, образованных на основе поселка городского типа, не являющихся»;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1.1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/>
          <w:sz w:val="28"/>
          <w:szCs w:val="28"/>
        </w:rPr>
        <w:t xml:space="preserve">Организационный комитет по проведению республиканского конкурса среди сельских поселений и городских поселений, образованных на основе поселка городского типа, не являющихся административными центрами муниципальных район</w:t>
      </w:r>
      <w:r>
        <w:rPr>
          <w:rFonts w:ascii="Times New Roman" w:hAnsi="Times New Roman" w:eastAsia="Times New Roman"/>
          <w:sz w:val="28"/>
          <w:szCs w:val="28"/>
        </w:rPr>
        <w:t xml:space="preserve">ов Республики Татарстан (далее –</w:t>
      </w:r>
      <w:r>
        <w:rPr>
          <w:rFonts w:ascii="Times New Roman" w:hAnsi="Times New Roman" w:eastAsia="Times New Roman"/>
          <w:sz w:val="28"/>
          <w:szCs w:val="28"/>
        </w:rPr>
        <w:t xml:space="preserve"> Оргкомитет), образуется Кабинетом Министров Республики Татарстан в целях организации и проведения ежегодного </w:t>
      </w:r>
      <w:r>
        <w:rPr>
          <w:rFonts w:ascii="Times New Roman" w:hAnsi="Times New Roman" w:eastAsia="Times New Roman"/>
          <w:sz w:val="28"/>
          <w:szCs w:val="28"/>
        </w:rPr>
        <w:t xml:space="preserve">республиканского конкурса среди сельских поселений и городских поселений, образованных на основе поселка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городского типа, 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(далее –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Конкурс), 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соответствии с Порядком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Порядок).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абзаце втором пункта 2.1 слова «</w:t>
      </w:r>
      <w:r>
        <w:rPr>
          <w:rFonts w:ascii="Times New Roman" w:hAnsi="Times New Roman" w:eastAsia="Times New Roman"/>
          <w:sz w:val="28"/>
          <w:szCs w:val="28"/>
        </w:rPr>
        <w:t xml:space="preserve">результатов </w:t>
      </w:r>
      <w:r>
        <w:rPr>
          <w:rFonts w:ascii="Times New Roman" w:hAnsi="Times New Roman" w:eastAsia="Times New Roman"/>
          <w:sz w:val="28"/>
          <w:szCs w:val="28"/>
        </w:rPr>
        <w:t xml:space="preserve">комплексной</w:t>
      </w:r>
      <w:r>
        <w:rPr>
          <w:rFonts w:ascii="Times New Roman" w:hAnsi="Times New Roman" w:eastAsia="Times New Roman"/>
          <w:sz w:val="28"/>
          <w:szCs w:val="28"/>
        </w:rPr>
        <w:t xml:space="preserve"> оценки эффективности</w:t>
      </w:r>
      <w:r>
        <w:rPr>
          <w:rFonts w:ascii="Times New Roman" w:hAnsi="Times New Roman" w:eastAsia="Times New Roman"/>
          <w:sz w:val="28"/>
          <w:szCs w:val="28"/>
        </w:rPr>
        <w:t xml:space="preserve"> деятельности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sz w:val="28"/>
          <w:szCs w:val="28"/>
        </w:rPr>
        <w:t xml:space="preserve">заменить словами «оценки результативности деятельности органов местного самоуправления»;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Порядке предоставления и использования грантов сельскими поселениями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и городскими поселениями, образованными на основе поселка городского типа,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не являющимися административными центрами муниципальных районов Республики Татарстан (далее – Порядок), утвержденном указанным постановлением: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наименование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«Порядок 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1.1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«1.1. Настоящий Порядок опр</w:t>
      </w:r>
      <w:r>
        <w:rPr>
          <w:rFonts w:ascii="Times New Roman" w:hAnsi="Times New Roman" w:eastAsia="Times New Roman"/>
          <w:sz w:val="28"/>
          <w:szCs w:val="28"/>
        </w:rPr>
        <w:t xml:space="preserve">еделяет процедуру организации и проведения республиканского конкурса среди сельских поселений и городских поселений, образованных на основе поселка городского типа, не являющихся администрат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ивными центрами муниципальных районов Республики Татарстан (далее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Конкурс),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 также порядок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дополнить пунктом 1.2 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1.2. Иные межбюджетные трансферты предоставляются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бюджетам муниципальных районов Республики Татарстан для их последующег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предоставления из бюджетов муниципальных районов Республики Татарстан бюджетам сельских поселений 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на укрепление материально-технической базы объектов непосредственного жизнеобеспечения, обустройство объектами социальной ин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фраструктуры и внешнего благоустройства и решение иных социально значимых вопросов сельских поселений 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(далее – иные межбюджетные трансферты)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пункте 2.1: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абзац п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ервый признать утратившим силу;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абзаце четвертом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слово «грантополучатели» заменить словами «победители Конкурса»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слова «признанные победителями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 заменить словами «отобранные по итогам»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пункте 4.6 слова «на получение гранта» исключить;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пункт 4.7</w:t>
      </w:r>
      <w:r>
        <w:rPr>
          <w:rFonts w:ascii="Times New Roman" w:hAnsi="Times New Roman" w:eastAsia="Times New Roman"/>
          <w:sz w:val="28"/>
          <w:szCs w:val="28"/>
          <w:highlight w:val="white"/>
          <w:vertAlign w:val="superscript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«4.7.3.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 сельских поселений и городских поселений, образованных на основе поселка городского типа, не являющихся административны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центрами муниципальных районов Республики Татарстан, признанных победителями Конкурса, предоставляются иные межбюджетные трансферты в размере 2,0 млн. рублей и 2,5 млн. рублей, соответственно, за счет средств иных межбюджетных трансфертов, предоставляемых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из бюджета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бюджетам муниципальных районов Республики Татарстан.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пункте 4.8: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абзаце первом слова «комплексной оценки эффективности деятельности» заменить словами «оценки результативности деятельности ор</w:t>
      </w:r>
      <w:r>
        <w:rPr>
          <w:rFonts w:ascii="Times New Roman" w:hAnsi="Times New Roman" w:eastAsia="Times New Roman"/>
          <w:sz w:val="28"/>
          <w:szCs w:val="28"/>
        </w:rPr>
        <w:t xml:space="preserve">ганов местного самоуправления»;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абзаце третьем слова «высшие оценки эффективности деятельности» заменить словами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наиболее высокие оценки результативности</w:t>
      </w:r>
      <w:r>
        <w:rPr>
          <w:rFonts w:ascii="Times New Roman" w:hAnsi="Times New Roman" w:eastAsia="Times New Roman"/>
          <w:sz w:val="28"/>
          <w:szCs w:val="28"/>
        </w:rPr>
        <w:t xml:space="preserve"> деятельности органов местного самоуправления»;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пункте 4.10 слова «оформляется протоколом» заменить словами «оформляется и утверждается протоколом»;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4.11 </w:t>
      </w:r>
      <w:r>
        <w:rPr>
          <w:rFonts w:ascii="Times New Roman" w:hAnsi="Times New Roman" w:eastAsia="Times New Roman"/>
          <w:sz w:val="28"/>
          <w:szCs w:val="28"/>
        </w:rPr>
        <w:t xml:space="preserve">признать </w:t>
      </w:r>
      <w:r>
        <w:rPr>
          <w:rFonts w:ascii="Times New Roman" w:hAnsi="Times New Roman" w:eastAsia="Times New Roman"/>
          <w:sz w:val="28"/>
          <w:szCs w:val="28"/>
        </w:rPr>
        <w:t xml:space="preserve">утративши</w:t>
      </w:r>
      <w:r>
        <w:rPr>
          <w:rFonts w:ascii="Times New Roman" w:hAnsi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sz w:val="28"/>
          <w:szCs w:val="28"/>
        </w:rPr>
        <w:t xml:space="preserve"> силу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наименовании раздела 5 слово «грантов» заменить словами «иных межбюджетных трансфертов»;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5.1 </w:t>
      </w:r>
      <w:r>
        <w:rPr>
          <w:rFonts w:ascii="Times New Roman" w:hAnsi="Times New Roman" w:eastAsia="Times New Roman"/>
          <w:sz w:val="28"/>
          <w:szCs w:val="28"/>
        </w:rPr>
        <w:t xml:space="preserve">признать утратившим силу;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пункт 5.</w:t>
      </w: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признать утратившим силу;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пункт 5.3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417" w:leader="none"/>
        </w:tabs>
        <w:rPr>
          <w:rFonts w:ascii="Times New Roman" w:hAnsi="Times New Roman" w:eastAsia="Times New Roman"/>
          <w:strike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5.3. Иные межб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юджетные трансферты предоставляются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 на цели, указанные в пункте 1.2 настоящего Порядка.»;</w:t>
      </w:r>
      <w:r>
        <w:rPr>
          <w:rFonts w:ascii="Times New Roman" w:hAnsi="Times New Roman" w:eastAsia="Times New Roman"/>
          <w:strike/>
          <w:sz w:val="28"/>
          <w:szCs w:val="28"/>
          <w:highlight w:val="white"/>
        </w:rPr>
      </w:r>
      <w:r>
        <w:rPr>
          <w:rFonts w:ascii="Times New Roman" w:hAnsi="Times New Roman" w:eastAsia="Times New Roman"/>
          <w:strike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пункте 5.5</w:t>
      </w:r>
      <w:r>
        <w:rPr>
          <w:rFonts w:ascii="Times New Roman" w:hAnsi="Times New Roman" w:eastAsia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подпункт «а»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«а) наличие распоряжения исполнительного комитета муниципального района Республики Татарстан (далее – исполнительный комитет) об утверждении перечня </w:t>
      </w:r>
      <w:r>
        <w:rPr>
          <w:rFonts w:ascii="Times New Roman" w:hAnsi="Times New Roman" w:eastAsia="Times New Roman"/>
          <w:sz w:val="28"/>
          <w:szCs w:val="28"/>
        </w:rPr>
        <w:t xml:space="preserve">победителей</w:t>
      </w:r>
      <w:r>
        <w:rPr>
          <w:rFonts w:ascii="Times New Roman" w:hAnsi="Times New Roman" w:eastAsia="Times New Roman"/>
          <w:sz w:val="28"/>
          <w:szCs w:val="28"/>
        </w:rPr>
        <w:t xml:space="preserve"> К</w:t>
      </w:r>
      <w:r>
        <w:rPr>
          <w:rFonts w:ascii="Times New Roman" w:hAnsi="Times New Roman" w:eastAsia="Times New Roman"/>
          <w:sz w:val="28"/>
          <w:szCs w:val="28"/>
        </w:rPr>
        <w:t xml:space="preserve">онкурса</w:t>
      </w:r>
      <w:r>
        <w:rPr>
          <w:rFonts w:ascii="Times New Roman" w:hAnsi="Times New Roman" w:eastAsia="Times New Roman"/>
          <w:sz w:val="28"/>
          <w:szCs w:val="28"/>
        </w:rPr>
        <w:t xml:space="preserve">;»;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подпункте «б» слово «грантополучателям» заменить словами «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обедителям К</w:t>
      </w:r>
      <w:r>
        <w:rPr>
          <w:rFonts w:ascii="Times New Roman" w:hAnsi="Times New Roman" w:eastAsia="Times New Roman"/>
          <w:sz w:val="28"/>
          <w:szCs w:val="28"/>
        </w:rPr>
        <w:t xml:space="preserve">онкурса</w:t>
      </w:r>
      <w:r>
        <w:rPr>
          <w:rFonts w:ascii="Times New Roman" w:hAnsi="Times New Roman" w:eastAsia="Times New Roman"/>
          <w:sz w:val="28"/>
          <w:szCs w:val="28"/>
        </w:rPr>
        <w:t xml:space="preserve">;»;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5.6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слова «выплаченных грантов грантополучателям» заменить словами «победителей Конкурса, получивших иные межбюджетные трансферты.»;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пункта 5.8 слова «Республиканского конкурса на предоставление грантов сельским поселениям и городским поселениям, образованным» заменить </w:t>
      </w:r>
      <w:r>
        <w:rPr>
          <w:rFonts w:ascii="Times New Roman" w:hAnsi="Times New Roman"/>
          <w:sz w:val="28"/>
          <w:szCs w:val="28"/>
          <w:highlight w:val="white"/>
        </w:rPr>
        <w:t xml:space="preserve">словами 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онкурса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пункте 5.8</w:t>
      </w:r>
      <w:r>
        <w:rPr>
          <w:rFonts w:ascii="Times New Roman" w:hAnsi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  <w:vertAlign w:val="superscript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слова «Республиканского конкурса на предоставление грантов сельским поселениям и городским поселениям,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образованным </w:t>
      </w:r>
      <w:r>
        <w:rPr>
          <w:rFonts w:ascii="Times New Roman" w:hAnsi="Times New Roman" w:eastAsia="Times New Roman"/>
          <w:sz w:val="28"/>
          <w:szCs w:val="28"/>
        </w:rPr>
        <w:t xml:space="preserve">на основе поселка городского типа, не являющимся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 заменить словом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sz w:val="28"/>
          <w:szCs w:val="28"/>
        </w:rPr>
        <w:t xml:space="preserve">онкурса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№ 1 к указанному Порядку изложить в новой редакции (прилагается);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приложении № 2 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указанному Порядку: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нумерационный заголовок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«Приложение № 2 к Порядку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наименовании слова «Республиканского конкурса на предоставление грантов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сельским поселениям и городским поселениям, образованным 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 основе поселка городского типа, не являющимся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 заменить словами 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республиканского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конкурса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среди сельских поселений и городских поселений, образованных на основе поселка городского типа, не являющихся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наименовании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графы 2 слова «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Вид информации (показатель эффективности деятельности сельских поселений)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 заменить словами «Показатель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результативности»;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нумерационный заголовок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приложения № 3 к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указанному Порядку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«Приложение № 3 к Порядку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№ 4 к указанному Порядку изложить в новой редакции (прилагается).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2. Установить, что действие настоящего постановления распространяется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на правоотношения, возникшие с 1 марта 2025 года.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Республики Татарстан                                                                                   А.В.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Песошин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28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br w:type="page" w:clear="all"/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5669"/>
        <w:spacing w:after="0" w:line="240" w:lineRule="auto"/>
        <w:shd w:val="clear" w:color="ffffff" w:fill="ffffff"/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№ 1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</w:p>
    <w:p>
      <w:pPr>
        <w:contextualSpacing/>
        <w:ind w:left="5669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 Порядку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(в редакции постановления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Министров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Республики Татарстан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5669"/>
        <w:spacing w:line="283" w:lineRule="atLeast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от _________________№ ________)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5669"/>
        <w:spacing w:line="283" w:lineRule="atLeast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Форма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pStyle w:val="745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/>
      <w:bookmarkStart w:id="1" w:name="undefined"/>
      <w:r/>
      <w:bookmarkEnd w:id="1"/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Методика оценки результативности деятельности органов местного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745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самоуправления сельских поселений и городских поселений, образованных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745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на основе поселка городского типа, 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737"/>
        <w:jc w:val="both"/>
        <w:rPr>
          <w:rFonts w:ascii="Times New Roman" w:hAnsi="Times New Roman" w:cs="Times New Roman"/>
          <w:sz w:val="10"/>
          <w:szCs w:val="10"/>
          <w:highlight w:val="white"/>
        </w:rPr>
      </w:pPr>
      <w:r>
        <w:rPr>
          <w:rFonts w:ascii="Times New Roman" w:hAnsi="Times New Roman" w:cs="Times New Roman"/>
          <w:sz w:val="10"/>
          <w:szCs w:val="10"/>
          <w:highlight w:val="white"/>
        </w:rPr>
      </w:r>
      <w:r>
        <w:rPr>
          <w:rFonts w:ascii="Times New Roman" w:hAnsi="Times New Roman" w:cs="Times New Roman"/>
          <w:sz w:val="10"/>
          <w:szCs w:val="10"/>
          <w:highlight w:val="white"/>
        </w:rPr>
      </w:r>
      <w:r>
        <w:rPr>
          <w:rFonts w:ascii="Times New Roman" w:hAnsi="Times New Roman" w:cs="Times New Roman"/>
          <w:sz w:val="10"/>
          <w:szCs w:val="10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Оценка резул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ьтативности деятельности органов местного самоуправления сельских поселений 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= (И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+... +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пn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)/ n,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сводный индекс значения первого показателя результативности деятельности органов местного самоуправления;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сводный индекс значения второго показателя результативности деятельности органов местного самоуправления;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пn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сводный индекс значения n-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показателя результативности деятельности органов местного самоуправления.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Сводный индекс показателя результативности деятельности органов местного самоуправления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= 0,5 x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+ 0,5 x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сводный индекс показателя результативности деятельности сельского поселения и городского поселения, образованного на основе поселка городского типа, не являющегося административным центром муниципального района Республики Татарстан;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индекс среднего темпа роста показателя результативности деятельности органов местного самоуправления;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индекс среднего объема показателя результативности деятельности органов местного самоуправления.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Инд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екс среднего темпа роста показателя результативности деятельности сельского поселения и городского поселения, образованного на основе поселка городского типа, не являющегося административным центром муниципального района Республики Татарстан, определяется: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в отношении индекса показателя,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значение которого отражает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= (Т - 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/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- значение среднего темпа роста показателя резуль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тативности деятельности сельского поселения или городского поселения, образованного на основе поселка городского типа, не являющегося административным центром муниципального района Республики Татарстан, за отчетный год и два года, предшествующие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минимальное значение среднего темпа роста показателя резуль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тативности деятельности сельского поселения или городского поселения, образованного на основе поселка городского типа, не являющегося административным центром муниципального района Республики Татарстан, за отчетный год и два года, предшествующие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максимальное значение среднего темпа роста показателя резуль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тативности деятельности сельского поселения или городского поселения, образованного на основе поселка городского типа, не являющегося административным центром муниципального района Республики Татарстан, за отчетный год и два года, предшествующие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в отношении индекса показателя, большее значение которого отражает худший результат,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=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Т) /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Т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Индекс среднего объема показателя результативности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определяется: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в отношении индекса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показателя, значение которого отражает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наиболее высокую оценку результата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= (О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/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- значение среднего объема показателя резу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отчетный год и два года, предшествующие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минимальное значение среднего объема показателя резу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отчетный год и два года, предшествующие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максимальное значение среднего объема показателя резу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отчетный год и два года, предшествующие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в отношении индекса показателя, большее значение которого отражает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худший результат,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=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О) /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макс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мин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Средний темп роста показателей результ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Республики Татарстан, за отчетный год и два года, предшествующие отчетному,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605790"/>
                <wp:effectExtent l="0" t="0" r="0" b="0"/>
                <wp:docPr id="1" name="Консультант Плю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онсультант Плю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57400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47.7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значение показателя результативности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отчетный период;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j-1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знач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ение показателя результативности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год, предшествующий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j-2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значение показат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еля результативности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год, на два года предшествующий отчетному;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j-3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значение показат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еля результативности деятельности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год, на три года предшествующий отчетному.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Значение среднего объема показателя результативности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сельских поселений или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Татарстан, за отчетный год и два года, предшествующие отчетному,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=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j-1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+ 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j-2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/ 3.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3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В случае отсутствия одного или нескольких показателей результативности деятельности сельских поселений или городских поселений, образованных на основе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поселка городского типа, не являющихся административными центрами муниципальных районов Республики Татарстан, за отчетный год соответствующему индексу показателя результативности деятельности органов местного самоуправления присваивается нулевое значение.</w:t>
      </w:r>
      <w:r>
        <w:br w:type="page" w:clear="all"/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5669"/>
        <w:spacing w:after="0" w:line="240" w:lineRule="auto"/>
        <w:shd w:val="clear" w:color="ffffff" w:fill="ffffff"/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№ 4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</w:p>
    <w:p>
      <w:pPr>
        <w:contextualSpacing/>
        <w:ind w:left="5669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 Порядку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(в редакции постановления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Министров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Республики Татарстан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5669"/>
        <w:spacing w:line="283" w:lineRule="atLeast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от _________________№ ________)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5669"/>
        <w:spacing w:line="283" w:lineRule="atLeast"/>
        <w:shd w:val="clear" w:color="ffffff" w:fill="ffff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jc w:val="right"/>
        <w:spacing w:line="256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jc w:val="right"/>
        <w:spacing w:line="256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Форма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  <w:t xml:space="preserve">Финансовый отчет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highlight w:val="white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  <w:t xml:space="preserve">об использовании иного межбюджетного трансферта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  <w:br w:type="textWrapping" w:clear="all"/>
        <w:t xml:space="preserve">победителем республиканского конкурса среди сельских поселений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и городских поселений, образованных на основе поселка городского типа,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color w:val="000000" w:themeColor="text1"/>
          <w:highlight w:val="white"/>
        </w:rPr>
      </w:r>
      <w:r>
        <w:rPr>
          <w:rFonts w:ascii="Times New Roman" w:hAnsi="Times New Roman" w:eastAsia="Times New Roman"/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Настоящим финансовым отчетом подтверждаю расходование иного межбюджетного трансферта, предоставленного на основании Соглашения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br/>
        <w:t xml:space="preserve">от __________ № 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о предоставлении иного межбюджетного трансферта, имеющего целевое назначение из бюджета Республики Татарстан бюджету муниципального образования Республики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Татарстан, на укрепление материально-технической базы объектов непосредственного жизнеобеспечения поселения, обустройство объектами социальной инфраструктуры и внешнего благоустройства поселения и решение иных социально значимых вопросов поселения.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480"/>
        <w:jc w:val="both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tbl>
      <w:tblPr>
        <w:tblStyle w:val="746"/>
        <w:tblW w:w="10205" w:type="dxa"/>
        <w:tblInd w:w="0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4676"/>
        <w:gridCol w:w="4395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Наименование мероприятий, выполненных работ, оказанных услуг с указанием срока (периода), места их проведения и участников (исполнителей)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Наименование и реквизиты документов, подтверждающих выполнение работ, оказанных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Всего,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рублей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482"/>
        <w:jc w:val="both"/>
        <w:spacing w:after="0" w:line="240" w:lineRule="auto"/>
        <w:shd w:val="clear" w:color="ffffff" w:fill="ffff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К отчету прилагаются надлежащим образом заверенные копии документов, подтверждающих данные настоящего отчета согласно перечню, указанному в пункте 5.8.1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предоставления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иных межбюджетных трансфертов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использования бюджетам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утвержденного постановлением Кабинета Министров Республики Татарстан от 29.08.2013 № 614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 проведении республиканского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конкурса среди сельских поселений и городских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поселений, образованных на основе поселка городского типа, не являющихся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, на ___ л. в ___ экз.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480"/>
        <w:jc w:val="both"/>
        <w:spacing w:after="0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ind w:firstLine="480"/>
        <w:jc w:val="both"/>
        <w:spacing w:after="0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tbl>
      <w:tblPr>
        <w:tblStyle w:val="746"/>
        <w:tblW w:w="102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10"/>
        <w:gridCol w:w="519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0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министра экономики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Республики Татарстан: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94" w:type="dxa"/>
            <w:textDirection w:val="lrTb"/>
            <w:noWrap w:val="false"/>
          </w:tcPr>
          <w:p>
            <w:pPr>
              <w:ind w:firstLine="480"/>
              <w:jc w:val="center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Глава муниципального района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firstLine="480"/>
              <w:jc w:val="center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Республики Татарстан: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0" w:type="dxa"/>
            <w:textDirection w:val="lrTb"/>
            <w:noWrap w:val="false"/>
          </w:tcPr>
          <w:p>
            <w:pPr>
              <w:jc w:val="both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_________/________________________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94" w:type="dxa"/>
            <w:textDirection w:val="lrTb"/>
            <w:noWrap w:val="false"/>
          </w:tcPr>
          <w:p>
            <w:pPr>
              <w:jc w:val="both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___________/________________________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0" w:type="dxa"/>
            <w:textDirection w:val="lrTb"/>
            <w:noWrap w:val="false"/>
          </w:tcPr>
          <w:p>
            <w:pPr>
              <w:ind w:firstLine="480"/>
              <w:jc w:val="center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(подпись) (Ф.И.О. (последнее - при    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firstLine="480"/>
              <w:jc w:val="right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наличии)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94" w:type="dxa"/>
            <w:textDirection w:val="lrTb"/>
            <w:noWrap w:val="false"/>
          </w:tcPr>
          <w:p>
            <w:pPr>
              <w:ind w:firstLine="480"/>
              <w:jc w:val="center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(подпись) (Ф.И.О. (последнее - при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/>
              <w:shd w:val="clear" w:color="ffffff" w:fill="ffffff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наличии)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 проекту постановления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</w:t>
      </w:r>
      <w:r>
        <w:rPr>
          <w:rFonts w:ascii="Times New Roman" w:hAnsi="Times New Roman"/>
          <w:sz w:val="28"/>
          <w:szCs w:val="28"/>
        </w:rPr>
        <w:t xml:space="preserve">ановление Кабинета Министров Республики Татарстан от 29.08.2013 № 614 «О грантах сельским поселениям и городским поселениям, образованным на основе поселка городского типа, 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-1" w:firstLine="709"/>
        <w:jc w:val="both"/>
        <w:spacing w:after="0" w:afterAutospacing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Проектом постановления Кабинета Министров Республики Татарстан </w:t>
        <w:br/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 Кабинета Министров Республики Татарстан от 29.08.2013 № 614 «</w:t>
      </w:r>
      <w:r>
        <w:rPr>
          <w:rFonts w:ascii="Times New Roman" w:hAnsi="Times New Roman"/>
          <w:sz w:val="28"/>
          <w:szCs w:val="28"/>
          <w:highlight w:val="white"/>
        </w:rPr>
        <w:t xml:space="preserve">О грантах сельским поселениям и городским поселениям, образованным на основе поселка городс</w:t>
      </w:r>
      <w:r>
        <w:rPr>
          <w:rFonts w:ascii="Times New Roman" w:hAnsi="Times New Roman"/>
          <w:sz w:val="28"/>
          <w:szCs w:val="28"/>
          <w:highlight w:val="white"/>
        </w:rPr>
        <w:t xml:space="preserve">кого типа, 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white"/>
        </w:rPr>
        <w:t xml:space="preserve">(далее – проект постановления) вносятся изменения в наименование постановления, а также </w:t>
      </w:r>
      <w:r>
        <w:rPr>
          <w:rFonts w:ascii="Times New Roman" w:hAnsi="Times New Roman"/>
          <w:sz w:val="28"/>
          <w:szCs w:val="28"/>
          <w:highlight w:val="white"/>
        </w:rPr>
        <w:t xml:space="preserve">определение понятия денежных средств, предоставляемых муниципальным районам Республики Татарстан для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сельск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их поселений и городских поселений, образованных на основе поселка городского типа, не являющихся административными центрами муниципальных районов Республики Татарстан.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Вносимые изменения предусмотрены в целях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уточнения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целенаправленности распределения иных межбюджетных трансфертов,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устранения правовой неопределённости понятия «иной межбюджетный трансферт» с учётом положений бюджетного законодательства.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-1" w:firstLine="709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Внесение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изменения в наименование постановления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обусловлено необходимостью его уточнения с точки зрения существа постановления, которым предусматривается организация проведения конкурса среди </w:t>
      </w:r>
      <w:r>
        <w:rPr>
          <w:rFonts w:ascii="Times New Roman" w:hAnsi="Times New Roman"/>
          <w:sz w:val="28"/>
          <w:szCs w:val="28"/>
          <w:highlight w:val="white"/>
        </w:rPr>
        <w:t xml:space="preserve">сельских поселений </w:t>
        <w:br/>
        <w:t xml:space="preserve">и городских поселений, образованных на основе поселка городс</w:t>
      </w:r>
      <w:r>
        <w:rPr>
          <w:rFonts w:ascii="Times New Roman" w:hAnsi="Times New Roman"/>
          <w:sz w:val="28"/>
          <w:szCs w:val="28"/>
          <w:highlight w:val="white"/>
        </w:rPr>
        <w:t xml:space="preserve">кого типа, </w:t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не являющихся административными центрами муниципальных районов Республики Татарстан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на получение денежных средств, методика оценки участников данного конкурса, состав лиц для проведе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ния оценки участников конкурса, а также порядок представления и использования денежных средств.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наименование постановления – 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 республиканско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конкурс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среди сельских поселений и городских поселений, образованных на основе поселка городского типа, не являющихся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административными центрами муниципальных районов Республики Татарстан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highlight w:val="white"/>
          <w14:ligatures w14:val="none"/>
        </w:rPr>
      </w:r>
    </w:p>
    <w:p>
      <w:pPr>
        <w:ind w:left="0" w:right="-1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Проектом постановления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денежные средства, предоставляемые муниципальным районам дл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сельских поселений и городских поселений, образованным на основе поселка городского типа, не являющихся административными центрами муниципальных районов Республики Татарстан, определены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как иные межбюджетные трансферты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(вместо «гр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антов»),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наименование, код вида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целевая статья расходов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ведомственной структурой расходов бюджета Республики Татарстан на 2025 год, утвержденной пунктом 1 статьи 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Закона Республики Татарстан от 28.11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.2024 № 87-ЗРТ «О бюджете Республики Татарстан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2025 год и на плановый пери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од 2026 и 2027 годов»,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относятся и соответствуют межбюджетным трансфертам.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Помимо вышеизложенного, проектом постановления вносятся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преамбулу постановления, где уточняется цель распределения иных межбюджетных трансфертов;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тексту проекта постановления, в утверждённых им документах </w:t>
        <w:br/>
        <w:t xml:space="preserve">и приложениях «гранты» заменены на «иные межбюджетные трансферты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комплексная оценка эффективности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деятельности сформулирована как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оценка результативности деятельности ор</w:t>
      </w:r>
      <w:r>
        <w:rPr>
          <w:rFonts w:ascii="Times New Roman" w:hAnsi="Times New Roman" w:eastAsia="Times New Roman"/>
          <w:sz w:val="28"/>
          <w:szCs w:val="28"/>
        </w:rPr>
        <w:t xml:space="preserve">ганов местного самоуправления;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внесены изменения в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остав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организационного комитета по проведению республиканского конкурса на предоставлен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иных межбюджетных трансферт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внесены технические и редакционные изменения.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 проектом постановления уточнен срок его действия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распространяется  на правоотношения, возникшие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01.03.2025.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Внесение изменений в постановление не потребует дополнительных расходов из бюджета Республики Татарстан.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проведения независимой антикоррупционной экспертизы проекта постановления замечания не поступили.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Необходимость в проведении оценки регулирующего воздействия проекта постановления отсутствует.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 xml:space="preserve"> PAGE 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 xml:space="preserve">10</w:t>
    </w:r>
    <w:r>
      <w:rPr>
        <w:rFonts w:ascii="Times New Roman" w:hAnsi="Times New Roman"/>
        <w:sz w:val="28"/>
        <w:szCs w:val="24"/>
      </w:rPr>
      <w:fldChar w:fldCharType="end"/>
    </w:r>
    <w:r>
      <w:rPr>
        <w:rFonts w:ascii="Times New Roman" w:hAnsi="Times New Roman"/>
        <w:sz w:val="28"/>
        <w:szCs w:val="24"/>
      </w:rPr>
    </w:r>
    <w:r>
      <w:rPr>
        <w:rFonts w:ascii="Times New Roman" w:hAnsi="Times New Roman"/>
        <w:sz w:val="28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4">
    <w:name w:val="Heading 1"/>
    <w:basedOn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qFormat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qFormat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qFormat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qFormat/>
    <w:rPr>
      <w:sz w:val="48"/>
      <w:szCs w:val="48"/>
    </w:rPr>
  </w:style>
  <w:style w:type="character" w:styleId="696" w:customStyle="1">
    <w:name w:val="Subtitle Char"/>
    <w:basedOn w:val="683"/>
    <w:uiPriority w:val="11"/>
    <w:qFormat/>
    <w:rPr>
      <w:sz w:val="24"/>
      <w:szCs w:val="24"/>
    </w:rPr>
  </w:style>
  <w:style w:type="character" w:styleId="697" w:customStyle="1">
    <w:name w:val="Quote Char"/>
    <w:uiPriority w:val="29"/>
    <w:qFormat/>
    <w:rPr>
      <w:i/>
    </w:rPr>
  </w:style>
  <w:style w:type="character" w:styleId="698" w:customStyle="1">
    <w:name w:val="Intense Quote Char"/>
    <w:uiPriority w:val="30"/>
    <w:qFormat/>
    <w:rPr>
      <w:i/>
    </w:rPr>
  </w:style>
  <w:style w:type="character" w:styleId="699" w:customStyle="1">
    <w:name w:val="Header Char"/>
    <w:basedOn w:val="683"/>
    <w:uiPriority w:val="99"/>
    <w:qFormat/>
  </w:style>
  <w:style w:type="character" w:styleId="700" w:customStyle="1">
    <w:name w:val="Footer Char"/>
    <w:basedOn w:val="683"/>
    <w:uiPriority w:val="99"/>
    <w:qFormat/>
  </w:style>
  <w:style w:type="character" w:styleId="701" w:customStyle="1">
    <w:name w:val="Caption Char"/>
    <w:uiPriority w:val="99"/>
    <w:qFormat/>
  </w:style>
  <w:style w:type="character" w:styleId="702" w:customStyle="1">
    <w:name w:val="Footnote Text Char"/>
    <w:uiPriority w:val="99"/>
    <w:qFormat/>
    <w:rPr>
      <w:sz w:val="18"/>
    </w:rPr>
  </w:style>
  <w:style w:type="character" w:styleId="703" w:customStyle="1">
    <w:name w:val="Символ сноски"/>
    <w:uiPriority w:val="99"/>
    <w:unhideWhenUsed/>
    <w:qFormat/>
    <w:rPr>
      <w:vertAlign w:val="superscript"/>
    </w:rPr>
  </w:style>
  <w:style w:type="character" w:styleId="704">
    <w:name w:val="footnote reference"/>
    <w:rPr>
      <w:vertAlign w:val="superscript"/>
    </w:rPr>
  </w:style>
  <w:style w:type="character" w:styleId="705" w:customStyle="1">
    <w:name w:val="Endnote Text Char"/>
    <w:uiPriority w:val="99"/>
    <w:qFormat/>
    <w:rPr>
      <w:sz w:val="20"/>
    </w:rPr>
  </w:style>
  <w:style w:type="character" w:styleId="70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7">
    <w:name w:val="endnote reference"/>
    <w:rPr>
      <w:vertAlign w:val="superscript"/>
    </w:rPr>
  </w:style>
  <w:style w:type="character" w:styleId="708" w:customStyle="1">
    <w:name w:val="Верхний колонтитул Знак"/>
    <w:basedOn w:val="683"/>
    <w:uiPriority w:val="99"/>
    <w:qFormat/>
  </w:style>
  <w:style w:type="character" w:styleId="709">
    <w:name w:val="Hyperlink"/>
    <w:uiPriority w:val="99"/>
    <w:unhideWhenUsed/>
    <w:rPr>
      <w:color w:val="0563c1"/>
      <w:u w:val="single"/>
    </w:rPr>
  </w:style>
  <w:style w:type="character" w:styleId="710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711" w:customStyle="1">
    <w:name w:val="Нижний колонтитул Знак"/>
    <w:basedOn w:val="683"/>
    <w:uiPriority w:val="99"/>
    <w:qFormat/>
  </w:style>
  <w:style w:type="character" w:styleId="712">
    <w:name w:val="Placeholder Text"/>
    <w:basedOn w:val="683"/>
    <w:uiPriority w:val="99"/>
    <w:semiHidden/>
    <w:qFormat/>
    <w:rPr>
      <w:color w:val="808080"/>
    </w:rPr>
  </w:style>
  <w:style w:type="character" w:styleId="713">
    <w:name w:val="Emphasis"/>
    <w:basedOn w:val="683"/>
    <w:uiPriority w:val="20"/>
    <w:qFormat/>
    <w:rPr>
      <w:i/>
      <w:iCs/>
    </w:rPr>
  </w:style>
  <w:style w:type="paragraph" w:styleId="714">
    <w:name w:val="Title"/>
    <w:basedOn w:val="673"/>
    <w:next w:val="71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5">
    <w:name w:val="Body Text"/>
    <w:basedOn w:val="673"/>
    <w:pPr>
      <w:spacing w:after="140" w:line="276" w:lineRule="auto"/>
    </w:pPr>
  </w:style>
  <w:style w:type="paragraph" w:styleId="716">
    <w:name w:val="List"/>
    <w:basedOn w:val="715"/>
    <w:rPr>
      <w:rFonts w:ascii="PT Astra Serif" w:hAnsi="PT Astra Serif" w:cs="Noto Sans Devanagari"/>
    </w:rPr>
  </w:style>
  <w:style w:type="paragraph" w:styleId="717">
    <w:name w:val="Caption"/>
    <w:basedOn w:val="67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18">
    <w:name w:val="index heading"/>
    <w:basedOn w:val="714"/>
  </w:style>
  <w:style w:type="paragraph" w:styleId="719">
    <w:name w:val="Subtitle"/>
    <w:basedOn w:val="673"/>
    <w:uiPriority w:val="11"/>
    <w:qFormat/>
    <w:pPr>
      <w:spacing w:before="200" w:after="200"/>
    </w:pPr>
    <w:rPr>
      <w:sz w:val="24"/>
      <w:szCs w:val="24"/>
    </w:rPr>
  </w:style>
  <w:style w:type="paragraph" w:styleId="720">
    <w:name w:val="Quote"/>
    <w:basedOn w:val="673"/>
    <w:uiPriority w:val="29"/>
    <w:qFormat/>
    <w:pPr>
      <w:ind w:left="720" w:right="720"/>
    </w:pPr>
    <w:rPr>
      <w:i/>
    </w:rPr>
  </w:style>
  <w:style w:type="paragraph" w:styleId="721">
    <w:name w:val="Intense Quote"/>
    <w:basedOn w:val="673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2">
    <w:name w:val="footnote text"/>
    <w:basedOn w:val="673"/>
    <w:uiPriority w:val="99"/>
    <w:semiHidden/>
    <w:unhideWhenUsed/>
    <w:pPr>
      <w:spacing w:after="40" w:line="240" w:lineRule="auto"/>
    </w:pPr>
    <w:rPr>
      <w:sz w:val="18"/>
    </w:rPr>
  </w:style>
  <w:style w:type="paragraph" w:styleId="723">
    <w:name w:val="endnote text"/>
    <w:basedOn w:val="673"/>
    <w:uiPriority w:val="99"/>
    <w:semiHidden/>
    <w:unhideWhenUsed/>
    <w:pPr>
      <w:spacing w:after="0" w:line="240" w:lineRule="auto"/>
    </w:pPr>
    <w:rPr>
      <w:sz w:val="20"/>
    </w:rPr>
  </w:style>
  <w:style w:type="paragraph" w:styleId="724">
    <w:name w:val="toc 1"/>
    <w:basedOn w:val="673"/>
    <w:uiPriority w:val="39"/>
    <w:unhideWhenUsed/>
    <w:pPr>
      <w:spacing w:after="57"/>
    </w:pPr>
  </w:style>
  <w:style w:type="paragraph" w:styleId="725">
    <w:name w:val="toc 2"/>
    <w:basedOn w:val="673"/>
    <w:uiPriority w:val="39"/>
    <w:unhideWhenUsed/>
    <w:pPr>
      <w:ind w:left="283"/>
      <w:spacing w:after="57"/>
    </w:pPr>
  </w:style>
  <w:style w:type="paragraph" w:styleId="726">
    <w:name w:val="toc 3"/>
    <w:basedOn w:val="673"/>
    <w:uiPriority w:val="39"/>
    <w:unhideWhenUsed/>
    <w:pPr>
      <w:ind w:left="567"/>
      <w:spacing w:after="57"/>
    </w:pPr>
  </w:style>
  <w:style w:type="paragraph" w:styleId="727">
    <w:name w:val="toc 4"/>
    <w:basedOn w:val="673"/>
    <w:uiPriority w:val="39"/>
    <w:unhideWhenUsed/>
    <w:pPr>
      <w:ind w:left="850"/>
      <w:spacing w:after="57"/>
    </w:pPr>
  </w:style>
  <w:style w:type="paragraph" w:styleId="728">
    <w:name w:val="toc 5"/>
    <w:basedOn w:val="673"/>
    <w:uiPriority w:val="39"/>
    <w:unhideWhenUsed/>
    <w:pPr>
      <w:ind w:left="1134"/>
      <w:spacing w:after="57"/>
    </w:pPr>
  </w:style>
  <w:style w:type="paragraph" w:styleId="729">
    <w:name w:val="toc 6"/>
    <w:basedOn w:val="673"/>
    <w:uiPriority w:val="39"/>
    <w:unhideWhenUsed/>
    <w:pPr>
      <w:ind w:left="1417"/>
      <w:spacing w:after="57"/>
    </w:pPr>
  </w:style>
  <w:style w:type="paragraph" w:styleId="730">
    <w:name w:val="toc 7"/>
    <w:basedOn w:val="673"/>
    <w:uiPriority w:val="39"/>
    <w:unhideWhenUsed/>
    <w:pPr>
      <w:ind w:left="1701"/>
      <w:spacing w:after="57"/>
    </w:pPr>
  </w:style>
  <w:style w:type="paragraph" w:styleId="731">
    <w:name w:val="toc 8"/>
    <w:basedOn w:val="673"/>
    <w:uiPriority w:val="39"/>
    <w:unhideWhenUsed/>
    <w:pPr>
      <w:ind w:left="1984"/>
      <w:spacing w:after="57"/>
    </w:pPr>
  </w:style>
  <w:style w:type="paragraph" w:styleId="732">
    <w:name w:val="toc 9"/>
    <w:basedOn w:val="673"/>
    <w:uiPriority w:val="39"/>
    <w:unhideWhenUsed/>
    <w:pPr>
      <w:ind w:left="2268"/>
      <w:spacing w:after="57"/>
    </w:pPr>
  </w:style>
  <w:style w:type="paragraph" w:styleId="733">
    <w:name w:val="TOC Heading"/>
    <w:uiPriority w:val="39"/>
    <w:unhideWhenUsed/>
    <w:qFormat/>
  </w:style>
  <w:style w:type="paragraph" w:styleId="734">
    <w:name w:val="table of figures"/>
    <w:basedOn w:val="673"/>
    <w:uiPriority w:val="99"/>
    <w:unhideWhenUsed/>
    <w:qFormat/>
    <w:pPr>
      <w:spacing w:after="0"/>
    </w:pPr>
  </w:style>
  <w:style w:type="paragraph" w:styleId="735" w:customStyle="1">
    <w:name w:val="Колонтитул"/>
    <w:basedOn w:val="673"/>
    <w:qFormat/>
  </w:style>
  <w:style w:type="paragraph" w:styleId="736">
    <w:name w:val="Header"/>
    <w:basedOn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7" w:customStyle="1">
    <w:name w:val="ConsPlusNormal"/>
    <w:qFormat/>
    <w:pPr>
      <w:widowControl w:val="off"/>
    </w:pPr>
    <w:rPr>
      <w:rFonts w:eastAsia="Times New Roman" w:cs="Calibri"/>
      <w:sz w:val="22"/>
    </w:rPr>
  </w:style>
  <w:style w:type="paragraph" w:styleId="738">
    <w:name w:val="No Spacing"/>
    <w:uiPriority w:val="1"/>
    <w:qFormat/>
    <w:rPr>
      <w:sz w:val="22"/>
      <w:szCs w:val="22"/>
      <w:lang w:eastAsia="en-US"/>
    </w:rPr>
  </w:style>
  <w:style w:type="paragraph" w:styleId="739">
    <w:name w:val="Balloon Text"/>
    <w:basedOn w:val="67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40">
    <w:name w:val="List Paragraph"/>
    <w:basedOn w:val="673"/>
    <w:uiPriority w:val="34"/>
    <w:qFormat/>
    <w:pPr>
      <w:contextualSpacing/>
      <w:ind w:left="720"/>
    </w:pPr>
  </w:style>
  <w:style w:type="paragraph" w:styleId="741">
    <w:name w:val="Footer"/>
    <w:basedOn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42" w:customStyle="1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743" w:customStyle="1">
    <w:name w:val="Содержимое таблицы"/>
    <w:basedOn w:val="673"/>
    <w:qFormat/>
    <w:pPr>
      <w:widowControl w:val="off"/>
      <w:suppressLineNumbers/>
    </w:pPr>
  </w:style>
  <w:style w:type="paragraph" w:styleId="744" w:customStyle="1">
    <w:name w:val="Заголовок таблицы"/>
    <w:basedOn w:val="743"/>
    <w:qFormat/>
    <w:pPr>
      <w:jc w:val="center"/>
    </w:pPr>
    <w:rPr>
      <w:b/>
      <w:bCs/>
    </w:rPr>
  </w:style>
  <w:style w:type="paragraph" w:styleId="745" w:customStyle="1">
    <w:name w:val="ConsPlusTitle"/>
    <w:qFormat/>
    <w:pPr>
      <w:widowControl w:val="off"/>
    </w:pPr>
    <w:rPr>
      <w:rFonts w:ascii="Arial" w:hAnsi="Arial" w:eastAsia="Times New Roman" w:cs="Arial"/>
      <w:b/>
      <w:sz w:val="24"/>
      <w:lang w:val="en-US" w:eastAsia="zh-CN"/>
    </w:rPr>
  </w:style>
  <w:style w:type="table" w:styleId="74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49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2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deaf6" w:themeFill="accent1" w:themeFillTint="34"/>
      </w:tcPr>
    </w:tblStylePr>
    <w:tblStylePr w:type="band1Vert">
      <w:rPr>
        <w:sz w:val="22"/>
      </w:rPr>
      <w:tcPr>
        <w:shd w:val="clear" w:color="ffffff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eebf6" w:themeFill="accent1" w:themeFillTint="32"/>
      </w:tcPr>
    </w:tblStylePr>
    <w:tblStylePr w:type="band1Vert">
      <w:rPr>
        <w:sz w:val="22"/>
      </w:rPr>
      <w:tcPr>
        <w:shd w:val="clear" w:color="ffffff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cecec" w:themeFill="accent3" w:themeFillTint="34"/>
      </w:tcPr>
    </w:tblStylePr>
    <w:tblStylePr w:type="band1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2cb" w:themeFill="accent4" w:themeFillTint="34"/>
      </w:tcPr>
    </w:tblStylePr>
    <w:tblStylePr w:type="band1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8e2f3" w:themeFill="accent5" w:themeFillTint="34"/>
      </w:tcPr>
    </w:tblStylePr>
    <w:tblStylePr w:type="band1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1efd8" w:themeFill="accent6" w:themeFillTint="34"/>
      </w:tcPr>
    </w:tblStylePr>
    <w:tblStylePr w:type="band1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5e5f4" w:themeFill="accent1" w:themeFillTint="40"/>
      </w:tcPr>
    </w:tblStylePr>
    <w:tblStylePr w:type="band1Vert">
      <w:rPr>
        <w:sz w:val="22"/>
      </w:rPr>
      <w:tcPr>
        <w:shd w:val="clear" w:color="ffffff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fdbf0" w:themeFill="accent5" w:themeFillTint="40"/>
      </w:tcPr>
    </w:tblStylePr>
    <w:tblStylePr w:type="band1Vert">
      <w:rPr>
        <w:sz w:val="22"/>
      </w:rPr>
      <w:tcPr>
        <w:shd w:val="clear" w:color="ffffff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bcf" w:themeFill="accent6" w:themeFillTint="40"/>
      </w:tcPr>
    </w:tblStylePr>
    <w:tblStylePr w:type="band1Vert">
      <w:rPr>
        <w:sz w:val="22"/>
      </w:rPr>
      <w:tcPr>
        <w:shd w:val="clear" w:color="fffff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2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53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54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55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56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57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58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59" w:customStyle="1">
    <w:name w:val="Bordered &amp; Lined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bdff1" w:themeFill="accent1" w:themeFillTint="50"/>
      </w:tcPr>
    </w:tblStylePr>
    <w:tblStylePr w:type="band2Vert">
      <w:rPr>
        <w:sz w:val="22"/>
      </w:rPr>
      <w:tcPr>
        <w:shd w:val="clear" w:color="ffffff" w:fill="cbdff1" w:themeFill="accent1" w:themeFillTint="50"/>
      </w:tcPr>
    </w:tblStylePr>
    <w:tblStylePr w:type="firstCol">
      <w:rPr>
        <w:sz w:val="22"/>
      </w:rPr>
      <w:tcPr>
        <w:shd w:val="clear" w:color="ffffff" w:fill="68a2d8" w:themeFill="accent1" w:themeFillTint="EA"/>
      </w:tcPr>
    </w:tblStylePr>
    <w:tblStylePr w:type="firstRow">
      <w:rPr>
        <w:sz w:val="22"/>
      </w:rPr>
      <w:tcPr>
        <w:shd w:val="clear" w:color="ffffff" w:fill="68a2d8" w:themeFill="accent1" w:themeFillTint="EA"/>
      </w:tcPr>
    </w:tblStylePr>
    <w:tblStylePr w:type="lastCol">
      <w:rPr>
        <w:sz w:val="22"/>
      </w:rPr>
      <w:tcPr>
        <w:shd w:val="clear" w:color="ffffff" w:fill="68a2d8" w:themeFill="accent1" w:themeFillTint="EA"/>
      </w:tcPr>
    </w:tblStylePr>
    <w:tblStylePr w:type="lastRow">
      <w:rPr>
        <w:sz w:val="22"/>
      </w:rPr>
      <w:tcPr>
        <w:shd w:val="clear" w:color="ffffff" w:fill="68a2d8" w:themeFill="accent1" w:themeFillTint="EA"/>
      </w:tcPr>
    </w:tblStylePr>
  </w:style>
  <w:style w:type="table" w:styleId="860" w:customStyle="1">
    <w:name w:val="Bordered &amp; Lined - Accent 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4" w:themeFill="accent2" w:themeFillTint="97"/>
      </w:tcPr>
    </w:tblStylePr>
    <w:tblStylePr w:type="firstRow">
      <w:rPr>
        <w:sz w:val="22"/>
      </w:rPr>
      <w:tcPr>
        <w:shd w:val="clear" w:color="ffffff" w:fill="f4b184" w:themeFill="accent2" w:themeFillTint="97"/>
      </w:tcPr>
    </w:tblStylePr>
    <w:tblStylePr w:type="lastCol">
      <w:rPr>
        <w:sz w:val="22"/>
      </w:rPr>
      <w:tcPr>
        <w:shd w:val="clear" w:color="ffffff" w:fill="f4b184" w:themeFill="accent2" w:themeFillTint="97"/>
      </w:tcPr>
    </w:tblStylePr>
    <w:tblStylePr w:type="lastRow">
      <w:rPr>
        <w:sz w:val="22"/>
      </w:rPr>
      <w:tcPr>
        <w:shd w:val="clear" w:color="ffffff" w:fill="f4b184" w:themeFill="accent2" w:themeFillTint="97"/>
      </w:tcPr>
    </w:tblStylePr>
  </w:style>
  <w:style w:type="table" w:styleId="861" w:customStyle="1">
    <w:name w:val="Bordered &amp; Lined - Accent 3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cecec" w:themeFill="accent3" w:themeFillTint="34"/>
      </w:tcPr>
    </w:tblStylePr>
    <w:tblStylePr w:type="band2Vert">
      <w:rPr>
        <w:sz w:val="22"/>
      </w:rPr>
      <w:tcPr>
        <w:shd w:val="clear" w:color="ffffff" w:fill="ececec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62" w:customStyle="1">
    <w:name w:val="Bordered &amp; Lined - Accent 4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2cb" w:themeFill="accent4" w:themeFillTint="34"/>
      </w:tcPr>
    </w:tblStylePr>
    <w:tblStylePr w:type="band2Vert">
      <w:rPr>
        <w:sz w:val="22"/>
      </w:rPr>
      <w:tcPr>
        <w:shd w:val="clear" w:color="ffffff" w:fill="fff2cb" w:themeFill="accent4" w:themeFillTint="34"/>
      </w:tcPr>
    </w:tblStylePr>
    <w:tblStylePr w:type="firstCol">
      <w:rPr>
        <w:sz w:val="22"/>
      </w:rPr>
      <w:tcPr>
        <w:shd w:val="clear" w:color="ffffff" w:fill="ffd865" w:themeFill="accent4" w:themeFillTint="9A"/>
      </w:tcPr>
    </w:tblStylePr>
    <w:tblStylePr w:type="firstRow">
      <w:rPr>
        <w:sz w:val="22"/>
      </w:rPr>
      <w:tcPr>
        <w:shd w:val="clear" w:color="ffffff" w:fill="ffd865" w:themeFill="accent4" w:themeFillTint="9A"/>
      </w:tcPr>
    </w:tblStylePr>
    <w:tblStylePr w:type="lastCol">
      <w:rPr>
        <w:sz w:val="22"/>
      </w:rPr>
      <w:tcPr>
        <w:shd w:val="clear" w:color="ffffff" w:fill="ffd865" w:themeFill="accent4" w:themeFillTint="9A"/>
      </w:tcPr>
    </w:tblStylePr>
    <w:tblStylePr w:type="lastRow">
      <w:rPr>
        <w:sz w:val="22"/>
      </w:rPr>
      <w:tcPr>
        <w:shd w:val="clear" w:color="ffffff" w:fill="ffd865" w:themeFill="accent4" w:themeFillTint="9A"/>
      </w:tcPr>
    </w:tblStylePr>
  </w:style>
  <w:style w:type="table" w:styleId="863" w:customStyle="1">
    <w:name w:val="Bordered &amp; Lined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8e2f3" w:themeFill="accent5" w:themeFillTint="34"/>
      </w:tcPr>
    </w:tblStylePr>
    <w:tblStylePr w:type="band2Vert">
      <w:rPr>
        <w:sz w:val="22"/>
      </w:rPr>
      <w:tcPr>
        <w:shd w:val="clear" w:color="ffffff" w:fill="d8e2f3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64" w:customStyle="1">
    <w:name w:val="Bordered &amp; Lined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1efd8" w:themeFill="accent6" w:themeFillTint="34"/>
      </w:tcPr>
    </w:tblStylePr>
    <w:tblStylePr w:type="band2Vert">
      <w:rPr>
        <w:sz w:val="22"/>
      </w:rPr>
      <w:tcPr>
        <w:shd w:val="clear" w:color="ffffff" w:fill="e1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5987-19C3-42B5-A273-4DD79F02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 РТ-Сагитова Эльвира Назифовна</dc:creator>
  <dc:description/>
  <dc:language>ru-RU</dc:language>
  <cp:revision>12</cp:revision>
  <dcterms:created xsi:type="dcterms:W3CDTF">2025-07-15T13:54:00Z</dcterms:created>
  <dcterms:modified xsi:type="dcterms:W3CDTF">2025-07-22T16:17:20Z</dcterms:modified>
</cp:coreProperties>
</file>