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52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перечень приоритетных инвестиционных проектов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год, соответствующих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направлениям инвестиционной политики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атарстан,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деленным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нвестиционным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меморанду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атарстан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годы, утвержденный постанов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атарстан от </w:t>
      </w:r>
      <w:r>
        <w:rPr>
          <w:rFonts w:ascii="Times New Roman" w:hAnsi="Times New Roman" w:cs="Times New Roman"/>
          <w:sz w:val="28"/>
          <w:szCs w:val="28"/>
        </w:rPr>
        <w:t xml:space="preserve">20.12.202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1172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right="5527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tooltip="consultantplus://offline/ref=42462BBB131931D53A84A8807762E72D5B9C40CEC8F5F12EAC3C77DD4BBD728ECAE1D320D61CA89558D45A59713F12A687EF5F22778E6E83FC4801EFh0E9M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приоритетных инвестиционных проектов на 202</w:t>
      </w:r>
      <w:r>
        <w:rPr>
          <w:rFonts w:ascii="Times New Roman" w:hAnsi="Times New Roman" w:cs="Times New Roman"/>
          <w:sz w:val="28"/>
          <w:szCs w:val="28"/>
        </w:rPr>
        <w:t xml:space="preserve">5 год, соответствующих приоритетным направлениям инвестиционной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Татарстан, определенным Инвестиционным меморандумом Республики </w:t>
      </w:r>
      <w:r>
        <w:rPr>
          <w:rFonts w:ascii="Times New Roman" w:hAnsi="Times New Roman" w:cs="Times New Roman"/>
          <w:sz w:val="28"/>
          <w:szCs w:val="28"/>
        </w:rPr>
        <w:t xml:space="preserve">Татарстан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20.12.2024 № 1172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перечня приоритетных инвестиционных проектов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год, соответствующих приоритетным направлениям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инвестиционной политики Республики Татарстан, определенным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нвес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тиционным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меморандумом Республики Татарстан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разделе I: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дополнить подпунктами </w:t>
      </w:r>
      <w:r>
        <w:rPr>
          <w:rFonts w:ascii="Times New Roman" w:hAnsi="Times New Roman" w:cs="Times New Roman"/>
          <w:sz w:val="28"/>
          <w:szCs w:val="28"/>
        </w:rPr>
        <w:t xml:space="preserve">9 и 10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9) 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Техническое перевооружение производства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галобутиловых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каучуков до 200 тыс. т/год»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(ПАО «Нижнекамскнефтехим», </w:t>
      </w:r>
      <w:r>
        <w:rPr>
          <w:rFonts w:ascii="Times New Roman" w:hAnsi="Times New Roman" w:cs="Times New Roman"/>
          <w:sz w:val="28"/>
          <w:szCs w:val="28"/>
        </w:rPr>
        <w:t xml:space="preserve">г.Нижнекамск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Модернизация производства линейных альфа-олефинов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(ПАО «Нижнекамскнефтехим», </w:t>
      </w:r>
      <w:r>
        <w:rPr>
          <w:rFonts w:ascii="Times New Roman" w:hAnsi="Times New Roman" w:cs="Times New Roman"/>
          <w:sz w:val="28"/>
          <w:szCs w:val="28"/>
        </w:rPr>
        <w:t xml:space="preserve">г.Нижнекамск</w:t>
      </w:r>
      <w:r>
        <w:rPr>
          <w:rFonts w:ascii="Times New Roman" w:hAnsi="Times New Roman" w:cs="Times New Roman"/>
          <w:sz w:val="28"/>
          <w:szCs w:val="28"/>
        </w:rPr>
        <w:t xml:space="preserve">).»;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9 дополнить подпунктами 12 - 14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12)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Расширение пропускной способности магистрального нефтепродуктопровода «Альметьевск-Нижний Новгород» диаметром 500 мм для перекачки дизельного топлива в объеме 13,3 млн т/год. Головная перекачивающая станция «Альметьевск»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Реконструкция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АО «Транснефть-Прикамье», Альметьевский муниципальный район);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13) «Расширение пропускной способности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магистрального нефтепродуктопровода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Альметьевск-</w:t>
      </w:r>
      <w:r>
        <w:rPr>
          <w:rFonts w:ascii="Times New Roman" w:hAnsi="Times New Roman"/>
          <w:sz w:val="28"/>
          <w:szCs w:val="28"/>
        </w:rPr>
        <w:t xml:space="preserve">Н.Новгород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диаметром</w:t>
      </w:r>
      <w:r>
        <w:rPr>
          <w:rFonts w:ascii="Times New Roman" w:hAnsi="Times New Roman"/>
          <w:sz w:val="28"/>
          <w:szCs w:val="28"/>
        </w:rPr>
        <w:t xml:space="preserve"> 500 мм для перекачки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дизельного топлива </w:t>
      </w:r>
      <w:r>
        <w:rPr>
          <w:rFonts w:ascii="Times New Roman" w:hAnsi="Times New Roman"/>
          <w:sz w:val="28"/>
          <w:szCs w:val="28"/>
        </w:rPr>
        <w:t xml:space="preserve">в объеме 13,3 </w:t>
      </w:r>
      <w:r>
        <w:rPr>
          <w:rFonts w:ascii="Times New Roman" w:hAnsi="Times New Roman"/>
          <w:sz w:val="28"/>
          <w:szCs w:val="28"/>
        </w:rPr>
        <w:t xml:space="preserve">млн.т</w:t>
      </w:r>
      <w:r>
        <w:rPr>
          <w:rFonts w:ascii="Times New Roman" w:hAnsi="Times New Roman"/>
          <w:sz w:val="28"/>
          <w:szCs w:val="28"/>
        </w:rPr>
        <w:t xml:space="preserve">/год.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Продуктоп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ерекачивающая станция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Ковали-1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 Техническое перевооружение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АО «Транснефть-Прикамье», Альметьевский муниципальный район);</w:t>
      </w:r>
      <w:r>
        <w:rPr>
          <w:rFonts w:ascii="Times New Roman" w:hAnsi="Times New Roman"/>
          <w:sz w:val="28"/>
          <w:szCs w:val="28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«Расширение пропускной способности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агистрального нефтепродуктопровода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Альметьевск-Н.Новгород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диаметром</w:t>
      </w:r>
      <w:r>
        <w:rPr>
          <w:rFonts w:ascii="Times New Roman" w:hAnsi="Times New Roman"/>
          <w:sz w:val="28"/>
          <w:szCs w:val="28"/>
        </w:rPr>
        <w:t xml:space="preserve"> 500 мм</w:t>
      </w:r>
      <w:r>
        <w:rPr>
          <w:rFonts w:ascii="Times New Roman" w:hAnsi="Times New Roman"/>
          <w:sz w:val="28"/>
          <w:szCs w:val="28"/>
        </w:rPr>
        <w:t xml:space="preserve"> для перекачки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дизельного топлива</w:t>
      </w:r>
      <w:r>
        <w:rPr>
          <w:rFonts w:ascii="Times New Roman" w:hAnsi="Times New Roman"/>
          <w:sz w:val="28"/>
          <w:szCs w:val="28"/>
        </w:rPr>
        <w:t xml:space="preserve"> в объеме 13,3 млн.т/год.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Продуктоп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ерекачивающая станция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Михайловка-1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Техническое перевооружение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АО «Транснефть-Прикамье», Альметьевский муниципальный район).»;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 10 дополнить подпунктами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30 и 31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«30)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Мега-парк «Большая Волга»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(ООО «ЯДР</w:t>
      </w:r>
      <w:r>
        <w:rPr>
          <w:rFonts w:ascii="Times New Roman" w:hAnsi="Times New Roman"/>
          <w:sz w:val="28"/>
          <w:szCs w:val="28"/>
        </w:rPr>
        <w:t xml:space="preserve">АН-СТРОЙ»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г.Казань);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31) «Гостиничный комплекс премиального уровня в Вахитовском районе г.Казани» (ООО «АМ Групп», г.Казань).».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Премьер-министр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А.В.Песошин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25515623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/>
        <w:r/>
      </w:p>
      <w:p>
        <w:pPr>
          <w:pStyle w:val="86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2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</w:r>
        <w:r>
          <w:rPr>
            <w:rFonts w:ascii="Times New Roman" w:hAnsi="Times New Roman" w:cs="Times New Roman"/>
            <w:sz w:val="28"/>
          </w:rPr>
        </w:r>
      </w:p>
    </w:sdtContent>
  </w:sdt>
  <w:p>
    <w:pPr>
      <w:pStyle w:val="86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66"/>
    <w:uiPriority w:val="99"/>
  </w:style>
  <w:style w:type="character" w:styleId="713">
    <w:name w:val="Footer Char"/>
    <w:basedOn w:val="861"/>
    <w:link w:val="868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8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5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66">
    <w:name w:val="Header"/>
    <w:basedOn w:val="860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61"/>
    <w:link w:val="866"/>
    <w:uiPriority w:val="99"/>
  </w:style>
  <w:style w:type="paragraph" w:styleId="868">
    <w:name w:val="Footer"/>
    <w:basedOn w:val="860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61"/>
    <w:link w:val="86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42462BBB131931D53A84A8807762E72D5B9C40CEC8F5F12EAC3C77DD4BBD728ECAE1D320D61CA89558D45A59713F12A687EF5F22778E6E83FC4801EFh0E9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revision>6</cp:revision>
  <dcterms:created xsi:type="dcterms:W3CDTF">2024-08-26T07:35:00Z</dcterms:created>
  <dcterms:modified xsi:type="dcterms:W3CDTF">2025-02-11T06:52:50Z</dcterms:modified>
</cp:coreProperties>
</file>