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ind w:left="0" w:right="0" w:hanging="0"/>
        <w:jc w:val="both"/>
        <w:rPr>
          <w:sz w:val="28"/>
          <w:szCs w:val="28"/>
        </w:rPr>
      </w:pPr>
      <w:r>
        <w:rPr>
          <w:sz w:val="28"/>
          <w:szCs w:val="28"/>
        </w:rPr>
      </w:r>
    </w:p>
    <w:p>
      <w:pPr>
        <w:pStyle w:val="ConsPlusTitle"/>
        <w:tabs>
          <w:tab w:val="clear" w:pos="720"/>
          <w:tab w:val="left" w:pos="3969" w:leader="none"/>
          <w:tab w:val="left" w:pos="4111" w:leader="none"/>
        </w:tabs>
        <w:ind w:left="0" w:right="6096" w:hanging="0"/>
        <w:jc w:val="both"/>
        <w:rPr/>
      </w:pPr>
      <w:r>
        <w:rPr>
          <w:rFonts w:cs="Times New Roman" w:ascii="Times New Roman" w:hAnsi="Times New Roman"/>
          <w:b w:val="false"/>
          <w:sz w:val="28"/>
          <w:szCs w:val="28"/>
        </w:rPr>
        <w:t>Об утверждении Порядка предоставления из бюджета Республики Татарстан субсидий на возмещение затрат, указанных в части 1 статьи 15 Федерального закона от 1 апреля 2020 года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pPr>
        <w:pStyle w:val="ConsPlusTitle"/>
        <w:tabs>
          <w:tab w:val="clear" w:pos="720"/>
          <w:tab w:val="left" w:pos="3969" w:leader="none"/>
          <w:tab w:val="left" w:pos="4111" w:leader="none"/>
        </w:tabs>
        <w:ind w:left="0" w:right="6096" w:hanging="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tabs>
          <w:tab w:val="clear" w:pos="720"/>
          <w:tab w:val="left" w:pos="3969" w:leader="none"/>
          <w:tab w:val="left" w:pos="4111" w:leader="none"/>
        </w:tabs>
        <w:ind w:left="0" w:right="6096" w:hanging="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Style18"/>
        <w:spacing w:lineRule="exact" w:line="276"/>
        <w:ind w:left="0" w:right="0" w:firstLine="709"/>
        <w:jc w:val="both"/>
        <w:rPr/>
      </w:pPr>
      <w:r>
        <w:rPr>
          <w:rFonts w:ascii="Times New Roman" w:hAnsi="Times New Roman"/>
          <w:b w:val="false"/>
          <w:bCs/>
          <w:sz w:val="28"/>
          <w:szCs w:val="28"/>
        </w:rPr>
        <w:t>В соответствии с пунктом 8.1 статьи 78 Бюджетного кодекса Российской Федерации, частью 1 статьи 15 Федерального закона от 01.04.2020 № 69-ФЗ «О защите и поощрении капиталовложений в Российской Федерации», пунктом 4 постановления Правительства Российской Федерации от 3 октября 2020 г. №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Законом Республики Татарстан от 25 ноября 1998 года № 1872 «Об инвестиционной деятельности в Республике Татарстан» Кабинет Министров Республики Татарстан ПОСТАНОВЛЯЕТ:</w:t>
      </w:r>
    </w:p>
    <w:p>
      <w:pPr>
        <w:pStyle w:val="ConsPlusNormal"/>
        <w:ind w:left="0" w:right="0" w:firstLine="709"/>
        <w:jc w:val="both"/>
        <w:rPr/>
      </w:pPr>
      <w:r>
        <w:rPr>
          <w:bCs/>
          <w:sz w:val="28"/>
          <w:szCs w:val="28"/>
        </w:rPr>
        <w:t xml:space="preserve">Утвердить прилагаемый Порядок </w:t>
      </w:r>
      <w:r>
        <w:rPr>
          <w:b w:val="false"/>
          <w:bCs/>
          <w:sz w:val="28"/>
          <w:szCs w:val="28"/>
        </w:rPr>
        <w:t>предоставления из бюджета Республики Татарстан субсидий на возмещение затрат</w:t>
      </w:r>
      <w:r>
        <w:rPr>
          <w:bCs/>
          <w:sz w:val="28"/>
          <w:szCs w:val="28"/>
        </w:rPr>
        <w:t>, указанных в части 1 статьи 15 Федерального закона от 1 апреля 2020 года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pPr>
        <w:pStyle w:val="ConsPlusNormal"/>
        <w:ind w:left="0" w:right="0" w:firstLine="709"/>
        <w:jc w:val="both"/>
        <w:rPr/>
      </w:pPr>
      <w:r>
        <w:rPr/>
      </w:r>
    </w:p>
    <w:p>
      <w:pPr>
        <w:pStyle w:val="ConsPlusNormal"/>
        <w:ind w:left="1042" w:right="0" w:hanging="0"/>
        <w:jc w:val="both"/>
        <w:rPr>
          <w:bCs/>
          <w:sz w:val="28"/>
          <w:szCs w:val="28"/>
        </w:rPr>
      </w:pPr>
      <w:r>
        <w:rPr>
          <w:bCs/>
          <w:sz w:val="28"/>
          <w:szCs w:val="28"/>
        </w:rPr>
      </w:r>
    </w:p>
    <w:p>
      <w:pPr>
        <w:pStyle w:val="ConsPlusNormal"/>
        <w:spacing w:before="240" w:after="160"/>
        <w:ind w:left="0" w:right="0" w:firstLine="540"/>
        <w:jc w:val="both"/>
        <w:rPr>
          <w:bCs/>
          <w:sz w:val="28"/>
          <w:szCs w:val="28"/>
        </w:rPr>
      </w:pPr>
      <w:r>
        <w:rPr>
          <w:bCs/>
          <w:sz w:val="28"/>
          <w:szCs w:val="28"/>
        </w:rPr>
      </w:r>
    </w:p>
    <w:p>
      <w:pPr>
        <w:pStyle w:val="ConsPlusNormal"/>
        <w:spacing w:before="240" w:after="160"/>
        <w:ind w:left="7920" w:right="0" w:hanging="0"/>
        <w:jc w:val="both"/>
        <w:rPr/>
      </w:pPr>
      <w:r>
        <w:rPr>
          <w:bCs/>
          <w:sz w:val="28"/>
          <w:szCs w:val="28"/>
        </w:rPr>
        <w:t xml:space="preserve">          </w:t>
      </w:r>
      <w:r>
        <w:rPr>
          <w:bCs/>
          <w:sz w:val="28"/>
          <w:szCs w:val="28"/>
        </w:rPr>
        <w:t>А.В.Песошин</w:t>
      </w:r>
    </w:p>
    <w:p>
      <w:pPr>
        <w:pStyle w:val="ConsPlusNormal"/>
        <w:ind w:left="0" w:right="0" w:hanging="0"/>
        <w:jc w:val="both"/>
        <w:rPr>
          <w:sz w:val="28"/>
          <w:szCs w:val="28"/>
        </w:rPr>
      </w:pPr>
      <w:r>
        <w:rPr>
          <w:sz w:val="28"/>
          <w:szCs w:val="28"/>
        </w:rPr>
      </w:r>
    </w:p>
    <w:p>
      <w:pPr>
        <w:pStyle w:val="ConsPlusNormal"/>
        <w:ind w:left="0" w:right="0" w:hanging="0"/>
        <w:jc w:val="both"/>
        <w:rPr>
          <w:sz w:val="28"/>
          <w:szCs w:val="28"/>
        </w:rPr>
      </w:pPr>
      <w:r>
        <w:rPr>
          <w:sz w:val="28"/>
          <w:szCs w:val="28"/>
        </w:rPr>
      </w:r>
    </w:p>
    <w:p>
      <w:pPr>
        <w:pStyle w:val="ConsPlusNormal"/>
        <w:ind w:left="0" w:right="0" w:hanging="0"/>
        <w:jc w:val="both"/>
        <w:rPr>
          <w:sz w:val="28"/>
          <w:szCs w:val="28"/>
        </w:rPr>
      </w:pPr>
      <w:r>
        <w:rPr>
          <w:sz w:val="28"/>
          <w:szCs w:val="28"/>
        </w:rPr>
      </w:r>
    </w:p>
    <w:p>
      <w:pPr>
        <w:pStyle w:val="ConsPlusTitle"/>
        <w:ind w:left="0" w:right="0" w:hanging="0"/>
        <w:jc w:val="right"/>
        <w:rPr/>
      </w:pPr>
      <w:r>
        <w:rPr>
          <w:rFonts w:cs="Times New Roman" w:ascii="Times New Roman" w:hAnsi="Times New Roman"/>
          <w:b w:val="false"/>
          <w:bCs w:val="false"/>
          <w:sz w:val="28"/>
          <w:szCs w:val="28"/>
        </w:rPr>
        <w:t xml:space="preserve">Утвержден постановлением </w:t>
      </w:r>
    </w:p>
    <w:p>
      <w:pPr>
        <w:pStyle w:val="ConsPlusTitle"/>
        <w:ind w:left="0" w:right="0" w:hanging="0"/>
        <w:jc w:val="right"/>
        <w:rPr/>
      </w:pPr>
      <w:r>
        <w:rPr>
          <w:rFonts w:cs="Times New Roman" w:ascii="Times New Roman" w:hAnsi="Times New Roman"/>
          <w:b w:val="false"/>
          <w:bCs w:val="false"/>
          <w:sz w:val="28"/>
          <w:szCs w:val="28"/>
        </w:rPr>
        <w:t xml:space="preserve">Кабинета Министров </w:t>
      </w:r>
    </w:p>
    <w:p>
      <w:pPr>
        <w:pStyle w:val="ConsPlusTitle"/>
        <w:ind w:left="0" w:right="0" w:hanging="0"/>
        <w:jc w:val="right"/>
        <w:rPr/>
      </w:pPr>
      <w:r>
        <w:rPr>
          <w:rFonts w:cs="Times New Roman" w:ascii="Times New Roman" w:hAnsi="Times New Roman"/>
          <w:b w:val="false"/>
          <w:bCs w:val="false"/>
          <w:sz w:val="28"/>
          <w:szCs w:val="28"/>
        </w:rPr>
        <w:t>Республики Татарстан</w:t>
      </w:r>
    </w:p>
    <w:p>
      <w:pPr>
        <w:pStyle w:val="ConsPlusTitle"/>
        <w:ind w:left="0" w:right="0" w:hanging="0"/>
        <w:jc w:val="right"/>
        <w:rPr/>
      </w:pPr>
      <w:r>
        <w:rPr>
          <w:rFonts w:cs="Times New Roman" w:ascii="Times New Roman" w:hAnsi="Times New Roman"/>
          <w:b w:val="false"/>
          <w:bCs w:val="false"/>
          <w:sz w:val="28"/>
          <w:szCs w:val="28"/>
        </w:rPr>
        <w:t>от ____________ № _____</w:t>
      </w:r>
    </w:p>
    <w:p>
      <w:pPr>
        <w:pStyle w:val="ConsPlusTitle"/>
        <w:ind w:left="0" w:right="0" w:hanging="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ind w:left="0" w:right="0" w:hanging="0"/>
        <w:jc w:val="center"/>
        <w:rPr/>
      </w:pPr>
      <w:r>
        <w:rPr>
          <w:rFonts w:cs="Times New Roman" w:ascii="Times New Roman" w:hAnsi="Times New Roman"/>
          <w:bCs w:val="false"/>
          <w:sz w:val="28"/>
          <w:szCs w:val="28"/>
        </w:rPr>
        <w:t>Порядок предоставления из бюджета Республики Татарстан субсидий на возмещение затрат, указанных в части 1 статьи 15 Федерального закона от 1 апреля 2020 года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pPr>
        <w:pStyle w:val="ConsPlusTitle"/>
        <w:ind w:left="0" w:right="0" w:hanging="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ind w:left="0" w:right="0" w:hanging="0"/>
        <w:jc w:val="center"/>
        <w:rPr/>
      </w:pPr>
      <w:r>
        <w:rPr>
          <w:rFonts w:cs="Times New Roman" w:ascii="Times New Roman" w:hAnsi="Times New Roman"/>
          <w:sz w:val="28"/>
          <w:szCs w:val="28"/>
        </w:rPr>
        <w:t>I. Общие положения</w:t>
      </w:r>
    </w:p>
    <w:p>
      <w:pPr>
        <w:pStyle w:val="ConsPlusNormal"/>
        <w:ind w:left="0" w:right="0" w:hanging="0"/>
        <w:jc w:val="both"/>
        <w:rPr>
          <w:sz w:val="28"/>
          <w:szCs w:val="28"/>
        </w:rPr>
      </w:pPr>
      <w:r>
        <w:rPr>
          <w:sz w:val="28"/>
          <w:szCs w:val="28"/>
        </w:rPr>
      </w:r>
    </w:p>
    <w:p>
      <w:pPr>
        <w:pStyle w:val="ConsPlusNormal"/>
        <w:numPr>
          <w:ilvl w:val="0"/>
          <w:numId w:val="1"/>
        </w:numPr>
        <w:tabs>
          <w:tab w:val="clear" w:pos="720"/>
          <w:tab w:val="left" w:pos="1134" w:leader="none"/>
        </w:tabs>
        <w:ind w:left="0" w:right="0" w:firstLine="709"/>
        <w:jc w:val="both"/>
        <w:rPr/>
      </w:pPr>
      <w:r>
        <w:rPr>
          <w:sz w:val="28"/>
          <w:szCs w:val="28"/>
        </w:rPr>
        <w:t xml:space="preserve">Настоящий Порядок устанавливает цель, условия и порядок предоставления субсидий из бюджета Республики Татарстан организации, реализующей проект, в рамках осуществления инвестиционного проекта, в отношении которого заключено соглашение о защите и поощрении капиталовложений, одной из сторон которого является Республика Татарстан, на возмещение затрат, указанных в части 1 статьи 15 Федерального закона от 1 апреля 2020 года № 69-ФЗ «О защите и поощрении капиталовложений в Российской Федерации» (далее соответственно – Федеральный закон; субсидии; </w:t>
      </w:r>
      <w:r>
        <w:rPr>
          <w:strike w:val="false"/>
          <w:dstrike w:val="false"/>
          <w:sz w:val="28"/>
          <w:szCs w:val="28"/>
        </w:rPr>
        <w:t>организация, реализующая проект; проект</w:t>
      </w:r>
      <w:r>
        <w:rPr>
          <w:sz w:val="28"/>
          <w:szCs w:val="28"/>
        </w:rPr>
        <w:t>).</w:t>
      </w:r>
    </w:p>
    <w:p>
      <w:pPr>
        <w:pStyle w:val="Style18"/>
        <w:numPr>
          <w:ilvl w:val="0"/>
          <w:numId w:val="1"/>
        </w:numPr>
        <w:tabs>
          <w:tab w:val="clear" w:pos="720"/>
          <w:tab w:val="left" w:pos="1134" w:leader="none"/>
        </w:tabs>
        <w:spacing w:lineRule="auto" w:line="240" w:before="0" w:after="0"/>
        <w:ind w:left="0" w:right="0" w:firstLine="709"/>
        <w:jc w:val="both"/>
        <w:rPr/>
      </w:pPr>
      <w:r>
        <w:rPr>
          <w:rFonts w:ascii="Times New Roman" w:hAnsi="Times New Roman"/>
          <w:sz w:val="28"/>
          <w:szCs w:val="28"/>
        </w:rPr>
        <w:t>В настоящем Порядке используются понятия, установленные Федеральным законом, Правилами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3 октября 2020 г. №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(далее - Правила возмещения затрат, утвержденные постановлением Правительства Российской Федерации от 03.10.2020 № 1</w:t>
      </w:r>
      <w:r>
        <w:rPr>
          <w:rFonts w:ascii="Times New Roman" w:hAnsi="Times New Roman"/>
          <w:color w:val="000000"/>
          <w:sz w:val="28"/>
          <w:szCs w:val="28"/>
        </w:rPr>
        <w:t xml:space="preserve">599).  </w:t>
      </w:r>
    </w:p>
    <w:p>
      <w:pPr>
        <w:pStyle w:val="Normal"/>
        <w:widowControl w:val="false"/>
        <w:numPr>
          <w:ilvl w:val="0"/>
          <w:numId w:val="1"/>
        </w:numPr>
        <w:tabs>
          <w:tab w:val="clear" w:pos="720"/>
          <w:tab w:val="left" w:pos="1134" w:leader="none"/>
        </w:tabs>
        <w:spacing w:lineRule="auto" w:line="240" w:before="0" w:after="0"/>
        <w:ind w:left="0" w:right="0" w:firstLine="709"/>
        <w:jc w:val="both"/>
        <w:rPr/>
      </w:pPr>
      <w:r>
        <w:rPr>
          <w:rFonts w:ascii="Times New Roman" w:hAnsi="Times New Roman"/>
          <w:sz w:val="28"/>
          <w:szCs w:val="28"/>
        </w:rPr>
        <w:t xml:space="preserve">Целью предоставления субсидий является </w:t>
      </w:r>
      <w:r>
        <w:rPr>
          <w:rFonts w:ascii="Times New Roman" w:hAnsi="Times New Roman"/>
          <w:b w:val="false"/>
          <w:bCs w:val="false"/>
          <w:sz w:val="28"/>
          <w:szCs w:val="28"/>
        </w:rPr>
        <w:t>реализация проекта, являющегося предметом соглашения о защите и поощрении капиталовложений.</w:t>
      </w:r>
    </w:p>
    <w:p>
      <w:pPr>
        <w:pStyle w:val="Normal"/>
        <w:widowControl w:val="false"/>
        <w:spacing w:lineRule="auto" w:line="252" w:before="0" w:after="0"/>
        <w:ind w:left="0" w:right="0" w:firstLine="709"/>
        <w:jc w:val="both"/>
        <w:rPr/>
      </w:pPr>
      <w:r>
        <w:rPr>
          <w:rFonts w:ascii="Times New Roman" w:hAnsi="Times New Roman"/>
          <w:sz w:val="28"/>
          <w:szCs w:val="28"/>
        </w:rPr>
        <w:t>4. Респ</w:t>
      </w:r>
      <w:r>
        <w:rPr>
          <w:rFonts w:ascii="Times New Roman" w:hAnsi="Times New Roman"/>
          <w:b w:val="false"/>
          <w:sz w:val="28"/>
          <w:szCs w:val="28"/>
        </w:rPr>
        <w:t>убликанским органом исполнительной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Министерство экономики Республики Татарстан (далее — Уполномоченный орган).</w:t>
      </w:r>
    </w:p>
    <w:p>
      <w:pPr>
        <w:pStyle w:val="Normal"/>
        <w:widowControl w:val="false"/>
        <w:spacing w:lineRule="auto" w:line="252" w:before="0" w:after="0"/>
        <w:ind w:left="0" w:right="0" w:firstLine="709"/>
        <w:jc w:val="both"/>
        <w:rPr/>
      </w:pPr>
      <w:r>
        <w:rPr>
          <w:rFonts w:ascii="Times New Roman" w:hAnsi="Times New Roman"/>
          <w:sz w:val="28"/>
          <w:szCs w:val="28"/>
        </w:rPr>
        <w:t>Субсидии предоставляются в пределах бюджетных ассигнований, предусмотренных Уполномоченному органу законом Республики Татарстан о бюджете Республики Татарстан на соответствующий финансовый год и плановый период, и лимитов бюджетных обязательств, доведенных в установленном порядке до Уполномоченного органа как получателя бюджетных средств на цель, указанную в пункте 3 настоящего Порядка.</w:t>
      </w:r>
    </w:p>
    <w:p>
      <w:pPr>
        <w:pStyle w:val="Normal"/>
        <w:spacing w:lineRule="auto" w:line="252" w:before="0" w:after="0"/>
        <w:ind w:left="0" w:right="0" w:firstLine="709"/>
        <w:jc w:val="both"/>
        <w:rPr/>
      </w:pPr>
      <w:r>
        <w:rPr>
          <w:rFonts w:ascii="Times New Roman" w:hAnsi="Times New Roman"/>
          <w:sz w:val="28"/>
          <w:szCs w:val="28"/>
        </w:rPr>
        <w:t>5. Получателем субсидии может быть организация, реализующая проект, если заключенное в отношении такого проекта соглашение о защите и поощрении капиталовложений содержит обязательство Республики Татарстан о возмещении затрат</w:t>
      </w:r>
      <w:r>
        <w:rPr>
          <w:rFonts w:ascii="Times New Roman" w:hAnsi="Times New Roman"/>
          <w:b w:val="false"/>
          <w:sz w:val="28"/>
          <w:szCs w:val="28"/>
        </w:rPr>
        <w:t xml:space="preserve">, предусмотренных статьей 15 Федерального закона, </w:t>
      </w:r>
      <w:r>
        <w:rPr>
          <w:rFonts w:ascii="Times New Roman" w:hAnsi="Times New Roman"/>
          <w:sz w:val="28"/>
          <w:szCs w:val="28"/>
        </w:rPr>
        <w:t xml:space="preserve">за счет </w:t>
      </w:r>
      <w:r>
        <w:rPr>
          <w:rFonts w:ascii="Times New Roman" w:hAnsi="Times New Roman"/>
          <w:b w:val="false"/>
          <w:sz w:val="28"/>
          <w:szCs w:val="28"/>
        </w:rPr>
        <w:t>средств бюджета Республики Татарстан в пользу организации, реализующей проект, в объеме, не превышающем размера налогов, исчисленных организацией для уплаты в бюджет Республики Татарстан, в связи с реализацией проекта, а именно налога на прибыль организаций, подлежащего зачислению в бюджет Республики Татарстан в соответствии с Налоговым кодексом Российской Федерации, налога на имущество организаций.</w:t>
      </w:r>
    </w:p>
    <w:p>
      <w:pPr>
        <w:pStyle w:val="ConsPlusNormal"/>
        <w:ind w:left="0" w:right="0" w:firstLine="709"/>
        <w:jc w:val="both"/>
        <w:rPr/>
      </w:pPr>
      <w:bookmarkStart w:id="0" w:name="Par112"/>
      <w:bookmarkEnd w:id="0"/>
      <w:r>
        <w:rPr>
          <w:sz w:val="28"/>
          <w:szCs w:val="28"/>
        </w:rPr>
        <w:t xml:space="preserve">6. В целях получения субсидии организация, реализующая проект, обязана осуществлять раздельный учет </w:t>
      </w:r>
      <w:r>
        <w:rPr>
          <w:b w:val="false"/>
          <w:sz w:val="28"/>
          <w:szCs w:val="28"/>
        </w:rPr>
        <w:t>обязательных платежей, исчисленных ею для уплаты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w:t>
      </w:r>
      <w:r>
        <w:rPr>
          <w:sz w:val="28"/>
          <w:szCs w:val="28"/>
        </w:rPr>
        <w:t xml:space="preserve">, и при осуществлении иной хозяйственной деятельности, за исключением случаев, установленных </w:t>
      </w:r>
      <w:hyperlink r:id="rId2">
        <w:r>
          <w:rPr>
            <w:sz w:val="28"/>
            <w:szCs w:val="28"/>
          </w:rPr>
          <w:t>статьей 5</w:t>
        </w:r>
      </w:hyperlink>
      <w:r>
        <w:rPr>
          <w:sz w:val="28"/>
          <w:szCs w:val="28"/>
        </w:rPr>
        <w:t xml:space="preserve"> Налогового кодекса Российской Федерации.</w:t>
      </w:r>
    </w:p>
    <w:p>
      <w:pPr>
        <w:pStyle w:val="ConsPlusNormal"/>
        <w:ind w:left="0" w:right="0" w:firstLine="709"/>
        <w:jc w:val="both"/>
        <w:rPr/>
      </w:pPr>
      <w:r>
        <w:rPr>
          <w:sz w:val="28"/>
          <w:szCs w:val="28"/>
        </w:rPr>
        <w:t xml:space="preserve">7. Субсидии предоставляются на основании соглашений о предоставлении субсидии в соответствии с </w:t>
      </w:r>
      <w:hyperlink r:id="rId3">
        <w:r>
          <w:rPr>
            <w:sz w:val="28"/>
            <w:szCs w:val="28"/>
          </w:rPr>
          <w:t>типовой формой</w:t>
        </w:r>
      </w:hyperlink>
      <w:r>
        <w:rPr>
          <w:sz w:val="28"/>
          <w:szCs w:val="28"/>
        </w:rPr>
        <w:t>, установленной Министерством финансов Республики Татарстан (далее - соглашение о предоставлении субсидии), которое может содержать дополнительные условия в соответствии с настоящим Порядком и (или) законодательством Российской Федерации.</w:t>
      </w:r>
    </w:p>
    <w:p>
      <w:pPr>
        <w:pStyle w:val="ConsPlusNormal"/>
        <w:ind w:left="0" w:right="0" w:firstLine="709"/>
        <w:jc w:val="both"/>
        <w:rPr/>
      </w:pPr>
      <w:r>
        <w:rPr>
          <w:sz w:val="28"/>
          <w:szCs w:val="28"/>
        </w:rPr>
        <w:t xml:space="preserve">Соглашение о предоставлении субсидии может заключаться в пределах  сроков возмещения затрат, установленных </w:t>
      </w:r>
      <w:hyperlink r:id="rId4">
        <w:r>
          <w:rPr>
            <w:sz w:val="28"/>
            <w:szCs w:val="28"/>
          </w:rPr>
          <w:t>частями 6</w:t>
        </w:r>
      </w:hyperlink>
      <w:r>
        <w:rPr>
          <w:sz w:val="28"/>
          <w:szCs w:val="28"/>
        </w:rPr>
        <w:t xml:space="preserve"> - </w:t>
      </w:r>
      <w:hyperlink r:id="rId5">
        <w:r>
          <w:rPr>
            <w:sz w:val="28"/>
            <w:szCs w:val="28"/>
          </w:rPr>
          <w:t>8 статьи 15</w:t>
        </w:r>
      </w:hyperlink>
      <w:r>
        <w:rPr>
          <w:sz w:val="28"/>
          <w:szCs w:val="28"/>
        </w:rPr>
        <w:t xml:space="preserve"> Федерального закона.</w:t>
      </w:r>
    </w:p>
    <w:p>
      <w:pPr>
        <w:pStyle w:val="Normal"/>
        <w:spacing w:lineRule="auto" w:line="252" w:before="0" w:after="0"/>
        <w:ind w:left="0" w:right="0" w:firstLine="709"/>
        <w:jc w:val="both"/>
        <w:rPr/>
      </w:pPr>
      <w:r>
        <w:rPr>
          <w:rFonts w:ascii="Times New Roman" w:hAnsi="Times New Roman"/>
          <w:sz w:val="28"/>
          <w:szCs w:val="28"/>
        </w:rPr>
        <w:t xml:space="preserve">8. Информация о предоставленных субсидиях, об объектах инфраструктуры и о правовом статусе объектов инфраструктуры с указанием их текущих правообладателей подлежит размещению в государственной информационной системе «Капиталовложения» </w:t>
      </w:r>
      <w:r>
        <w:rPr>
          <w:rFonts w:ascii="Times New Roman" w:hAnsi="Times New Roman"/>
          <w:b w:val="false"/>
          <w:sz w:val="28"/>
          <w:szCs w:val="28"/>
        </w:rPr>
        <w:t>в течение 10 (десяти) рабочих дней с даты предоставления субсидии.</w:t>
      </w:r>
    </w:p>
    <w:p>
      <w:pPr>
        <w:pStyle w:val="Normal"/>
        <w:spacing w:lineRule="auto" w:line="252" w:before="0" w:after="0"/>
        <w:ind w:left="0" w:right="0" w:firstLine="709"/>
        <w:jc w:val="both"/>
        <w:rPr>
          <w:sz w:val="28"/>
          <w:szCs w:val="28"/>
        </w:rPr>
      </w:pPr>
      <w:r>
        <w:rPr>
          <w:sz w:val="28"/>
          <w:szCs w:val="28"/>
        </w:rPr>
      </w:r>
    </w:p>
    <w:p>
      <w:pPr>
        <w:pStyle w:val="ConsPlusNormal"/>
        <w:ind w:left="0" w:right="0" w:firstLine="709"/>
        <w:jc w:val="center"/>
        <w:rPr>
          <w:lang w:val="en-US"/>
        </w:rPr>
      </w:pPr>
      <w:r>
        <w:rPr>
          <w:b/>
          <w:sz w:val="28"/>
          <w:szCs w:val="28"/>
          <w:lang w:val="en-US"/>
        </w:rPr>
        <w:t>II</w:t>
      </w:r>
      <w:r>
        <w:rPr>
          <w:b/>
          <w:sz w:val="28"/>
          <w:szCs w:val="28"/>
        </w:rPr>
        <w:t>. Условия и порядок предоставления субсидии</w:t>
      </w:r>
    </w:p>
    <w:p>
      <w:pPr>
        <w:pStyle w:val="ConsPlusNormal"/>
        <w:ind w:left="0" w:right="0" w:firstLine="709"/>
        <w:jc w:val="center"/>
        <w:rPr>
          <w:b/>
          <w:sz w:val="28"/>
          <w:szCs w:val="28"/>
        </w:rPr>
      </w:pPr>
      <w:r>
        <w:rPr>
          <w:b/>
          <w:sz w:val="28"/>
          <w:szCs w:val="28"/>
        </w:rPr>
      </w:r>
    </w:p>
    <w:p>
      <w:pPr>
        <w:pStyle w:val="ConsPlusNormal"/>
        <w:ind w:left="0" w:right="0" w:firstLine="709"/>
        <w:jc w:val="both"/>
        <w:rPr/>
      </w:pPr>
      <w:r>
        <w:rPr>
          <w:sz w:val="28"/>
          <w:szCs w:val="28"/>
        </w:rPr>
        <w:t>9. Направлениями затрат, на возмещение которых предоставляется субсидия, являются:</w:t>
      </w:r>
    </w:p>
    <w:p>
      <w:pPr>
        <w:pStyle w:val="ConsPlusNormal"/>
        <w:ind w:left="0" w:right="0" w:firstLine="709"/>
        <w:jc w:val="both"/>
        <w:rPr/>
      </w:pPr>
      <w:r>
        <w:rPr>
          <w:sz w:val="28"/>
          <w:szCs w:val="28"/>
        </w:rPr>
        <w:t>создание объектов обеспечивающей и (или) сопутствующей инфраструктур, необходимых для реализации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pPr>
        <w:pStyle w:val="ConsPlusNormal"/>
        <w:ind w:left="0" w:right="0" w:firstLine="709"/>
        <w:jc w:val="both"/>
        <w:rPr/>
      </w:pPr>
      <w:r>
        <w:rPr>
          <w:sz w:val="28"/>
          <w:szCs w:val="28"/>
        </w:rPr>
        <w:t>уплата процентов по кредитам и займам, купонного дохода по облигационным займам, привлеченным для создания объектов обеспечивающей и (или) сопутствующей инфраструктур, необходимых для реализации проекта, в том числе на реконструкцию объектов инфраструктуры, находящихся в государственной (муниципальной) собственности;</w:t>
      </w:r>
    </w:p>
    <w:p>
      <w:pPr>
        <w:pStyle w:val="ConsPlusNormal"/>
        <w:ind w:left="0" w:right="0" w:firstLine="709"/>
        <w:jc w:val="both"/>
        <w:rPr/>
      </w:pPr>
      <w:r>
        <w:rPr>
          <w:sz w:val="28"/>
          <w:szCs w:val="28"/>
        </w:rPr>
        <w:t>уплата процентов по кредитам и займам, купонного дохода по облигационным займам, привлеченным для реализации проекта в части создания (строительства) новых либо реконструкции и (или) модернизации существующих объектов,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pPr>
        <w:pStyle w:val="ConsPlusNormal"/>
        <w:ind w:left="0" w:right="0" w:firstLine="709"/>
        <w:jc w:val="both"/>
        <w:rPr/>
      </w:pPr>
      <w:hyperlink r:id="rId6">
        <w:r>
          <w:rPr>
            <w:sz w:val="28"/>
            <w:szCs w:val="28"/>
          </w:rPr>
          <w:t>10. Осно</w:t>
        </w:r>
      </w:hyperlink>
      <w:r>
        <w:rPr>
          <w:sz w:val="28"/>
          <w:szCs w:val="28"/>
        </w:rPr>
        <w:t>ванием отнесения объектов инфраструктуры к обеспечивающей или сопутствующей инфраструктуре, необходимой для реа</w:t>
      </w:r>
      <w:hyperlink r:id="rId7">
        <w:r>
          <w:rPr>
            <w:sz w:val="28"/>
            <w:szCs w:val="28"/>
          </w:rPr>
          <w:t>лизации п</w:t>
        </w:r>
      </w:hyperlink>
      <w:r>
        <w:rPr>
          <w:sz w:val="28"/>
          <w:szCs w:val="28"/>
        </w:rPr>
        <w:t>роекта, является цель использован</w:t>
      </w:r>
      <w:hyperlink w:anchor="Par149" w:tgtFrame="К сопутствующей инфраструктуре относятся объекты инфраструктуры, целью использования и эксплуатации которых является не только цель, указанная в абзаце втором настоящего пункта, но и использование объекта инфраструктуры в иных целях, в том числе возможность эксплуатации (использования) объекта инфраструктуры неограниченным кругом лиц с учетом свободной мощности (в отношении объектов железнодорожного транспорта к такой инфраструктуре относятся объекты инфраструктуры железнодорожного транспорта общего поль...">
        <w:r>
          <w:rPr>
            <w:sz w:val="28"/>
            <w:szCs w:val="28"/>
          </w:rPr>
          <w:t>ия и эксплуата</w:t>
        </w:r>
      </w:hyperlink>
      <w:r>
        <w:rPr>
          <w:sz w:val="28"/>
          <w:szCs w:val="28"/>
        </w:rPr>
        <w:t>ции соответствующих объектов инфраструктуры.</w:t>
      </w:r>
    </w:p>
    <w:p>
      <w:pPr>
        <w:pStyle w:val="ConsPlusNormal"/>
        <w:ind w:left="0" w:right="0" w:firstLine="709"/>
        <w:jc w:val="both"/>
        <w:rPr/>
      </w:pPr>
      <w:bookmarkStart w:id="1" w:name="Par148"/>
      <w:bookmarkEnd w:id="1"/>
      <w:r>
        <w:rPr>
          <w:sz w:val="28"/>
          <w:szCs w:val="28"/>
        </w:rPr>
        <w:t>К обеспечивающей инфраструктуре относятся объекты инфраструктуры, целью использования и эксплуатации которых является исключительно обеспечение функционирования объекта проекта, обеспечение нового производства товаров (работ, услуг), обеспечение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pPr>
        <w:pStyle w:val="ConsPlusNormal"/>
        <w:ind w:left="0" w:right="0" w:firstLine="709"/>
        <w:jc w:val="both"/>
        <w:rPr/>
      </w:pPr>
      <w:bookmarkStart w:id="2" w:name="Par149"/>
      <w:bookmarkEnd w:id="2"/>
      <w:r>
        <w:rPr>
          <w:sz w:val="28"/>
          <w:szCs w:val="28"/>
        </w:rPr>
        <w:t xml:space="preserve">К сопутствующей инфраструктуре относятся объекты инфраструктуры, целью использования и эксплуатации которых является не только цель, указанная в </w:t>
      </w:r>
      <w:hyperlink w:anchor="Par148" w:tgtFrame="К обеспечивающей инфраструктуре относятся объекты инфраструктуры, целью использования и эксплуатации которых является исключительно обеспечение функционирования объекта проекта, обеспечение нового производства товаров (работ, услуг), обеспечение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
        <w:r>
          <w:rPr>
            <w:sz w:val="28"/>
            <w:szCs w:val="28"/>
          </w:rPr>
          <w:t>абзаце втором</w:t>
        </w:r>
      </w:hyperlink>
      <w:r>
        <w:rPr>
          <w:sz w:val="28"/>
          <w:szCs w:val="28"/>
        </w:rPr>
        <w:t xml:space="preserve"> настоящего пункта, но и использование объекта инфраструктуры в иных целях, в том числе возможность эксплуатации (использования) объекта инфраструктуры неограниченным кругом лиц с учетом свободной мощности (в отношении объектов железнодорожного транспорта к такой инфраструктуре относятся объекты инфраструктуры железнодорожного транспорта общего пользования), при условии, что указанные объекты соответствуют требованиям </w:t>
      </w:r>
      <w:hyperlink r:id="rId8">
        <w:r>
          <w:rPr>
            <w:sz w:val="28"/>
            <w:szCs w:val="28"/>
          </w:rPr>
          <w:t>пункта 13 части 1 статьи 2</w:t>
        </w:r>
      </w:hyperlink>
      <w:r>
        <w:rPr>
          <w:sz w:val="28"/>
          <w:szCs w:val="28"/>
        </w:rPr>
        <w:t xml:space="preserve"> Федерального закона.</w:t>
      </w:r>
    </w:p>
    <w:p>
      <w:pPr>
        <w:pStyle w:val="ConsPlusNormal"/>
        <w:ind w:left="0" w:right="0" w:firstLine="680"/>
        <w:jc w:val="both"/>
        <w:rPr/>
      </w:pPr>
      <w:hyperlink r:id="rId9">
        <w:r>
          <w:rPr>
            <w:sz w:val="28"/>
            <w:szCs w:val="28"/>
          </w:rPr>
          <w:t>Перечень</w:t>
        </w:r>
      </w:hyperlink>
      <w:r>
        <w:rPr>
          <w:sz w:val="28"/>
          <w:szCs w:val="28"/>
        </w:rPr>
        <w:t xml:space="preserve"> объектов инфраструктуры, затраты в отношении которых подлежат возмещению в соответствии с настоящим Порядком, утвержден приказом Министерства экономического развития Российской Федерации.</w:t>
      </w:r>
    </w:p>
    <w:p>
      <w:pPr>
        <w:pStyle w:val="ConsPlusNormal"/>
        <w:ind w:left="0" w:right="0" w:firstLine="709"/>
        <w:jc w:val="both"/>
        <w:rPr/>
      </w:pPr>
      <w:r>
        <w:rPr>
          <w:sz w:val="28"/>
          <w:szCs w:val="28"/>
        </w:rPr>
        <w:t>11. Критериями соответствия объектов инфраструктуры потребностям проекта являются:</w:t>
      </w:r>
    </w:p>
    <w:p>
      <w:pPr>
        <w:pStyle w:val="ConsPlusNormal"/>
        <w:ind w:left="0" w:right="0" w:firstLine="709"/>
        <w:jc w:val="both"/>
        <w:rPr/>
      </w:pPr>
      <w:bookmarkStart w:id="3" w:name="Par153"/>
      <w:bookmarkEnd w:id="3"/>
      <w:r>
        <w:rPr>
          <w:sz w:val="28"/>
          <w:szCs w:val="28"/>
        </w:rPr>
        <w:t>объект инфраструктуры создается полностью или частично для эксплуатации (использования) объекта проекта, и (или) обеспечения нового производства товаров (работ, услуг), и (или)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pPr>
        <w:pStyle w:val="ConsPlusNormal"/>
        <w:ind w:left="0" w:right="0" w:firstLine="709"/>
        <w:jc w:val="both"/>
        <w:rPr/>
      </w:pPr>
      <w:bookmarkStart w:id="4" w:name="Par154"/>
      <w:bookmarkEnd w:id="4"/>
      <w:r>
        <w:rPr>
          <w:sz w:val="28"/>
          <w:szCs w:val="28"/>
        </w:rPr>
        <w:t>достижение заявленных показателей проекта невозможно без использования объекта инфраструктуры;</w:t>
      </w:r>
    </w:p>
    <w:p>
      <w:pPr>
        <w:pStyle w:val="ConsPlusNormal"/>
        <w:ind w:left="0" w:right="0" w:firstLine="709"/>
        <w:jc w:val="both"/>
        <w:rPr/>
      </w:pPr>
      <w:r>
        <w:rPr>
          <w:sz w:val="28"/>
          <w:szCs w:val="28"/>
        </w:rPr>
        <w:t>объект инфраструктуры используется работниками организации, реализующей проект, работниками органа (организации), эксплуатирующей (использующей) объект проекта, и (или) членами их семей (в отношении социальной инфраструктуры).</w:t>
      </w:r>
    </w:p>
    <w:p>
      <w:pPr>
        <w:pStyle w:val="ConsPlusNormal"/>
        <w:ind w:left="0" w:right="0" w:firstLine="709"/>
        <w:jc w:val="both"/>
        <w:rPr/>
      </w:pPr>
      <w:r>
        <w:rPr>
          <w:sz w:val="28"/>
          <w:szCs w:val="28"/>
        </w:rPr>
        <w:t xml:space="preserve">12. При подтверждении соответствия объекта инфраструктуры потребностям проекта такой объект инфраструктуры должен соответствовать одному из критериев, установленных абзацами вторым и третьим пункта 11 настоящего Порядка. </w:t>
      </w:r>
    </w:p>
    <w:p>
      <w:pPr>
        <w:pStyle w:val="ConsPlusNormal"/>
        <w:ind w:left="0" w:right="0" w:firstLine="709"/>
        <w:jc w:val="both"/>
        <w:rPr/>
      </w:pPr>
      <w:r>
        <w:rPr>
          <w:sz w:val="28"/>
          <w:szCs w:val="28"/>
        </w:rPr>
        <w:t>При подтверждении соответствия объекта социальной инфраструктуры потребностям проекта такой объект инфраструктуры должен соответствовать критерию, установленному абзацем четвертым пункта 11 настоящего Порядка.</w:t>
      </w:r>
    </w:p>
    <w:p>
      <w:pPr>
        <w:pStyle w:val="ConsPlusNormal"/>
        <w:ind w:left="0" w:right="0" w:firstLine="709"/>
        <w:jc w:val="both"/>
        <w:rPr/>
      </w:pPr>
      <w:r>
        <w:rPr>
          <w:sz w:val="28"/>
          <w:szCs w:val="28"/>
        </w:rPr>
        <w:t xml:space="preserve">13. Возмещение затрат, указанных в пункте 9 настоящего Порядка, в отношении объектов сопутствующей инфраструктуры осуществляется при условии наличия в договоре (соглашении), указанном в </w:t>
      </w:r>
      <w:hyperlink w:anchor="Par195" w:tgtFrame="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 затраты в отношении которых подлежат возмещению в соответствии с настоящими Правилами, устанавливаются договором (соглашением) между организацией, реализующей проект, и соответствующими публично-правовым образованием или регулируемой организацией, в собственность которого (которой) предполагается передача созданного объек...">
        <w:r>
          <w:rPr>
            <w:sz w:val="28"/>
            <w:szCs w:val="28"/>
          </w:rPr>
          <w:t>абзаце втором пункта 2</w:t>
        </w:r>
      </w:hyperlink>
      <w:r>
        <w:rPr>
          <w:sz w:val="28"/>
          <w:szCs w:val="28"/>
        </w:rPr>
        <w:t>1 настоящего Порядка, обязательства о передаче и принятии таких объектов в государственную (муниципальную) собственность или собственность регулируемой организации, за исключением случая, если реконструкции подлежали объекты сопутствующей инфраструктуры, находящиеся в государственной (муниципальной) собственности.</w:t>
      </w:r>
    </w:p>
    <w:p>
      <w:pPr>
        <w:pStyle w:val="ConsPlusNormal"/>
        <w:ind w:left="0" w:right="0" w:firstLine="709"/>
        <w:jc w:val="both"/>
        <w:rPr/>
      </w:pPr>
      <w:r>
        <w:rPr>
          <w:sz w:val="28"/>
          <w:szCs w:val="28"/>
        </w:rPr>
        <w:t>14. Возмещение затрат, указанных в пункте 9 настоящего Порядка, осуществляется также в отношении объектов инфраструктуры, создаваемых регулируемыми организациями (в том числе включенных в инвестиционные программы регулируемых организаций), финансовое обеспечение создания которых осуществляется полностью за счет средств организации, реализующей проект.</w:t>
      </w:r>
    </w:p>
    <w:p>
      <w:pPr>
        <w:pStyle w:val="ConsPlusNormal"/>
        <w:ind w:left="0" w:right="0" w:firstLine="709"/>
        <w:jc w:val="both"/>
        <w:rPr/>
      </w:pPr>
      <w:r>
        <w:rPr>
          <w:sz w:val="28"/>
          <w:szCs w:val="28"/>
        </w:rPr>
        <w:t>15. Настоящим Порядком не предусматривается возмещение понесенных организацией, реализующей проект, затрат на организацию временного обеспечения объектов капитального строительства инженерной инфраструктурой.</w:t>
      </w:r>
    </w:p>
    <w:p>
      <w:pPr>
        <w:pStyle w:val="ConsPlusNormal"/>
        <w:tabs>
          <w:tab w:val="clear" w:pos="720"/>
          <w:tab w:val="left" w:pos="1418" w:leader="none"/>
        </w:tabs>
        <w:ind w:left="0" w:right="0" w:firstLine="709"/>
        <w:jc w:val="both"/>
        <w:rPr/>
      </w:pPr>
      <w:r>
        <w:rPr>
          <w:sz w:val="28"/>
          <w:szCs w:val="28"/>
        </w:rPr>
        <w:t xml:space="preserve">16. Размер субсидии подлежит уменьшению в случае, если средства бюджетов бюджетной системы Российской Федерации являются источником финансового обеспечения иных мер поддержки деятельности организации, реализующей проект, а также в случае возмещения причиненного организации, реализующей проект, реального ущерба вследствие применения актов (решений), указанных в </w:t>
      </w:r>
      <w:hyperlink r:id="rId10">
        <w:r>
          <w:rPr>
            <w:sz w:val="28"/>
            <w:szCs w:val="28"/>
          </w:rPr>
          <w:t>части 3 статьи 9</w:t>
        </w:r>
      </w:hyperlink>
      <w:r>
        <w:rPr>
          <w:sz w:val="28"/>
          <w:szCs w:val="28"/>
        </w:rPr>
        <w:t xml:space="preserve"> Федерального закона, без учета особенностей их применения, определенных </w:t>
      </w:r>
      <w:hyperlink r:id="rId11">
        <w:r>
          <w:rPr>
            <w:sz w:val="28"/>
            <w:szCs w:val="28"/>
          </w:rPr>
          <w:t>статьей 12</w:t>
        </w:r>
      </w:hyperlink>
      <w:r>
        <w:rPr>
          <w:sz w:val="28"/>
          <w:szCs w:val="28"/>
        </w:rPr>
        <w:t xml:space="preserve"> Федерального закона, в связи с реализацией проекта, на объем таких средств.</w:t>
      </w:r>
    </w:p>
    <w:p>
      <w:pPr>
        <w:pStyle w:val="ConsPlusNormal"/>
        <w:ind w:left="0" w:right="0" w:firstLine="709"/>
        <w:jc w:val="both"/>
        <w:rPr/>
      </w:pPr>
      <w:r>
        <w:rPr>
          <w:sz w:val="28"/>
          <w:szCs w:val="28"/>
        </w:rPr>
        <w:t xml:space="preserve">17. В отношении создания объектов инфраструктуры, отношения по созданию которых регулируются законодательством о градостроительной деятельности (объектов капитального строительства, линейных объектов), в качестве подлежащих возмещению принимаются затраты организаций, реализующих проекты, фактически понесенные ими при проектировании и строительстве (реконструкции) объектов инфраструктуры проекта, включенные в сметную документацию в соответствии с </w:t>
      </w:r>
      <w:hyperlink r:id="rId12">
        <w:r>
          <w:rPr>
            <w:sz w:val="28"/>
            <w:szCs w:val="28"/>
          </w:rPr>
          <w:t>Положением</w:t>
        </w:r>
      </w:hyperlink>
      <w:r>
        <w:rPr>
          <w:sz w:val="28"/>
          <w:szCs w:val="28"/>
        </w:rP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 87 «О составе разделов проектной документации и требованиях к их содержанию», градостроительным законодательством Российской Федерации (в том числе на технологическое присоединение к сетям инженерно-технического обеспечения), при условии их подтверждения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 При этом из объема возмещения исключаются затраты организации, реализующей проект, на уплату процентов по кредитным договорам.</w:t>
      </w:r>
    </w:p>
    <w:p>
      <w:pPr>
        <w:pStyle w:val="ConsPlusNormal"/>
        <w:ind w:left="0" w:right="0" w:firstLine="709"/>
        <w:jc w:val="both"/>
        <w:rPr/>
      </w:pPr>
      <w:r>
        <w:rPr>
          <w:sz w:val="28"/>
          <w:szCs w:val="28"/>
        </w:rPr>
        <w:t>18. В случае создания объекта инфраструктуры на основании договора технологического присоединения к сетям электро-, и (или) газо-, и (или) тепло-, и (или) водоснабжения и (или) водоотведения возмещению подлежат затраты согласно утвержденным в установленном законодательством Российской Федерации порядке тарифам по подключению (технологическому присоединению) к указанным сетям. В случае отсутствия утвержденных тарифов возмещению подлежат затраты, понесенные организацией, реализующей проект, в соответствии с утвержденным индивидуальным проектом и заключенным договором на подключение (технологическое присоединение) к указанным сетям.</w:t>
      </w:r>
    </w:p>
    <w:p>
      <w:pPr>
        <w:pStyle w:val="ConsPlusNormal"/>
        <w:ind w:left="0" w:right="0" w:firstLine="709"/>
        <w:jc w:val="both"/>
        <w:rPr/>
      </w:pPr>
      <w:r>
        <w:rPr>
          <w:sz w:val="28"/>
          <w:szCs w:val="28"/>
        </w:rPr>
        <w:t>В случае создания объекта инфраструктуры на основании договора подключения, технологического присоединения, примыкания к инфраструктуре субъектов естественных монополий, транспортным сетям возмещению подлежат затраты в соответствии с заключенными договорами на такое подключение (технологическое присоединение, примыкание).</w:t>
      </w:r>
    </w:p>
    <w:p>
      <w:pPr>
        <w:pStyle w:val="ConsPlusNormal"/>
        <w:ind w:left="0" w:right="0" w:firstLine="709"/>
        <w:jc w:val="both"/>
        <w:rPr/>
      </w:pPr>
      <w:r>
        <w:rPr>
          <w:sz w:val="28"/>
          <w:szCs w:val="28"/>
        </w:rPr>
        <w:t xml:space="preserve">19. Субсидия предоставляется на возмещение затрат, факт осуществления которых документально подтвержден, в том числе первичными учетными  документами (в том числе актами об осуществлении технологического присоединения, о выполнении технических условий, актами выполненных работ, оказанных услуг, актами приемки объектов или иными предусмотренными законодательством Российской Федерации документами), при условии наличия положительного заключения о проведении государственной экспертизы проектной документации и проверки достоверности определения сметной стоимости объектов проекта и (или) объектов инфраструктуры (в случае если отношения по созданию объекта проекта регулируются законодательством о градостроительной деятельности), и при условии наличия заключения о проведении технологического и ценового аудита, выданного экспертными организациями, а также заключения федерального органа исполнительной власти, осуществляющего функции по контролю и надзору в области налогов и сборов, указанного в </w:t>
      </w:r>
      <w:hyperlink r:id="rId13">
        <w:r>
          <w:rPr>
            <w:sz w:val="28"/>
            <w:szCs w:val="28"/>
          </w:rPr>
          <w:t>пункте 71 части 9 статьи 15</w:t>
        </w:r>
      </w:hyperlink>
      <w:r>
        <w:rPr>
          <w:sz w:val="28"/>
          <w:szCs w:val="28"/>
        </w:rPr>
        <w:t xml:space="preserve"> Федерального закона.</w:t>
      </w:r>
    </w:p>
    <w:p>
      <w:pPr>
        <w:pStyle w:val="ConsPlusNormal"/>
        <w:ind w:left="0" w:right="0" w:firstLine="709"/>
        <w:jc w:val="both"/>
        <w:rPr/>
      </w:pPr>
      <w:r>
        <w:rPr>
          <w:sz w:val="28"/>
          <w:szCs w:val="28"/>
        </w:rPr>
        <w:t xml:space="preserve">Прогнозируемые объемы </w:t>
      </w:r>
      <w:r>
        <w:rPr>
          <w:b w:val="false"/>
          <w:sz w:val="28"/>
          <w:szCs w:val="28"/>
        </w:rPr>
        <w:t xml:space="preserve">обязательных платежей, исчисленных организацией, реализующей проект, для уплаты в бюджеты публично-правовых образований, каждое из которых является стороной соглашения о защите и поощрении капиталовложений, </w:t>
      </w:r>
      <w:r>
        <w:rPr>
          <w:sz w:val="28"/>
          <w:szCs w:val="28"/>
        </w:rPr>
        <w:t>и уплаченных в связи с реализацией проекта отражаются в реестре соглашений о защите и поощрении капиталовложений в государственной информационной системе «Капиталовложения» по мере ввода в эксплуатацию ее компонентов.</w:t>
      </w:r>
    </w:p>
    <w:p>
      <w:pPr>
        <w:pStyle w:val="ConsPlusNormal"/>
        <w:ind w:left="0" w:right="0" w:firstLine="709"/>
        <w:jc w:val="both"/>
        <w:rPr/>
      </w:pPr>
      <w:r>
        <w:rPr>
          <w:sz w:val="28"/>
          <w:szCs w:val="28"/>
        </w:rPr>
        <w:t xml:space="preserve">Прогнозируемые объемы </w:t>
      </w:r>
      <w:r>
        <w:rPr>
          <w:b w:val="false"/>
          <w:sz w:val="28"/>
          <w:szCs w:val="28"/>
        </w:rPr>
        <w:t>обязательных платежей, исчисленных организацией, реализующей проект, для уплаты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w:t>
      </w:r>
      <w:r>
        <w:rPr>
          <w:sz w:val="28"/>
          <w:szCs w:val="28"/>
        </w:rPr>
        <w:t xml:space="preserve">, учитываются Уполномоченным органом при составлении проекта бюджета Республики Татарстан на соответствующий финансовый год и плановый период и определении объема государственной поддержки, предоставляемой на цель, указанную в пункте 3 настоящего Порядка. Прогнозируемые объемы </w:t>
      </w:r>
      <w:r>
        <w:rPr>
          <w:b w:val="false"/>
          <w:sz w:val="28"/>
          <w:szCs w:val="28"/>
        </w:rPr>
        <w:t>обязательных платежей, исчисленных организацией, реализующей проект, для уплаты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w:t>
      </w:r>
      <w:r>
        <w:rPr>
          <w:sz w:val="28"/>
          <w:szCs w:val="28"/>
        </w:rPr>
        <w:t>, подлежат ежегодной корректировке на основании данных, предоставляемых организацией, реализующей проект, сформированных с учетом фактической динамики платежей за предыдущие периоды.</w:t>
      </w:r>
    </w:p>
    <w:p>
      <w:pPr>
        <w:pStyle w:val="Normal"/>
        <w:spacing w:lineRule="auto" w:line="252" w:before="0" w:after="0"/>
        <w:ind w:left="0" w:right="0" w:firstLine="709"/>
        <w:jc w:val="both"/>
        <w:rPr/>
      </w:pPr>
      <w:r>
        <w:rPr>
          <w:rFonts w:ascii="Times New Roman" w:hAnsi="Times New Roman"/>
          <w:sz w:val="28"/>
          <w:szCs w:val="28"/>
        </w:rPr>
        <w:t xml:space="preserve">20. В целях получения субсидий в соответствии с настоящим Порядком организацией, реализующей проект, привлекаются экспертные организации для проведения технологического и ценового аудита, в соответствии с требованиями, установленными в </w:t>
      </w:r>
      <w:hyperlink r:id="rId14">
        <w:r>
          <w:rPr>
            <w:rFonts w:ascii="Times New Roman" w:hAnsi="Times New Roman"/>
            <w:sz w:val="28"/>
            <w:szCs w:val="28"/>
          </w:rPr>
          <w:t>приложении № 1</w:t>
        </w:r>
      </w:hyperlink>
      <w:r>
        <w:rPr>
          <w:rFonts w:ascii="Times New Roman" w:hAnsi="Times New Roman"/>
          <w:sz w:val="28"/>
          <w:szCs w:val="28"/>
        </w:rPr>
        <w:t xml:space="preserve"> к Правилам возмещения затрат, утвержденным постановлением Правительства Российской Федерации от 03.10.2020 № 1599 (далее – экспертная организация).</w:t>
      </w:r>
    </w:p>
    <w:p>
      <w:pPr>
        <w:pStyle w:val="Normal"/>
        <w:spacing w:lineRule="auto" w:line="252" w:before="0" w:after="0"/>
        <w:ind w:left="0" w:right="0" w:firstLine="709"/>
        <w:jc w:val="both"/>
        <w:rPr/>
      </w:pPr>
      <w:r>
        <w:rPr>
          <w:rFonts w:ascii="Times New Roman" w:hAnsi="Times New Roman"/>
          <w:sz w:val="28"/>
          <w:szCs w:val="28"/>
        </w:rPr>
        <w:t>Предметом технологического и ценового аудита являются с учетом экономической целесообразности:</w:t>
      </w:r>
    </w:p>
    <w:p>
      <w:pPr>
        <w:pStyle w:val="ConsPlusNormal"/>
        <w:ind w:left="0" w:right="0" w:firstLine="709"/>
        <w:jc w:val="both"/>
        <w:rPr/>
      </w:pPr>
      <w:r>
        <w:rPr>
          <w:sz w:val="28"/>
          <w:szCs w:val="28"/>
        </w:rPr>
        <w:t>оценка обоснования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эксплуатацию (использование) каждого созданного объекта проекта и (или) объекта инфраструктуры в процессе жизненного цикла, затраты по которым планируется возместить в соответствии с абзацами вторым - четвертом пункта 9 настоящих Правил;</w:t>
      </w:r>
    </w:p>
    <w:p>
      <w:pPr>
        <w:pStyle w:val="ConsPlusNormal"/>
        <w:ind w:left="0" w:right="0" w:firstLine="709"/>
        <w:jc w:val="both"/>
        <w:rPr/>
      </w:pPr>
      <w:r>
        <w:rPr>
          <w:sz w:val="28"/>
          <w:szCs w:val="28"/>
        </w:rPr>
        <w:t>оценка обоснования выбора основного технологического оборудования;</w:t>
      </w:r>
    </w:p>
    <w:p>
      <w:pPr>
        <w:pStyle w:val="ConsPlusNormal"/>
        <w:ind w:left="0" w:right="0" w:firstLine="709"/>
        <w:jc w:val="both"/>
        <w:rPr/>
      </w:pPr>
      <w:r>
        <w:rPr>
          <w:sz w:val="28"/>
          <w:szCs w:val="28"/>
        </w:rPr>
        <w:t>оценка фактической стоимости каждого созданного объекта проекта и (или) фактической стоимости каждого созданного объекта инфраструктуры;</w:t>
      </w:r>
    </w:p>
    <w:p>
      <w:pPr>
        <w:pStyle w:val="ConsPlusNormal"/>
        <w:ind w:left="0" w:right="0" w:firstLine="709"/>
        <w:jc w:val="both"/>
        <w:rPr/>
      </w:pPr>
      <w:r>
        <w:rPr>
          <w:sz w:val="28"/>
          <w:szCs w:val="28"/>
        </w:rPr>
        <w:t>подтверждение расчета объема возмещения затрат, указанных в части 1 статьи 15 Федерального закона, подготовленного организацией, реализующей проект;</w:t>
      </w:r>
    </w:p>
    <w:p>
      <w:pPr>
        <w:pStyle w:val="ConsPlusNormal"/>
        <w:ind w:left="0" w:right="0" w:firstLine="709"/>
        <w:jc w:val="both"/>
        <w:rPr/>
      </w:pPr>
      <w:r>
        <w:rPr>
          <w:color w:val="000000"/>
          <w:sz w:val="28"/>
          <w:szCs w:val="28"/>
        </w:rPr>
        <w:t>оценка соответствия фактической стоимости каждого созданного объекта проекта и (или) фактической стоимости каждого созданного объекта инфраструктуры, затраты по которым планируется возместить в соответствии с пунктом 9 настоящего Порядка, их сметной стоимости, подтвержденной положительным заключением о проведении государственной экспертизы проектной документации и проверки достоверности определения их сметной стоимости;</w:t>
      </w:r>
    </w:p>
    <w:p>
      <w:pPr>
        <w:pStyle w:val="ConsPlusNormal"/>
        <w:spacing w:lineRule="auto" w:line="240"/>
        <w:ind w:left="0" w:right="0" w:firstLine="709"/>
        <w:jc w:val="both"/>
        <w:rPr/>
      </w:pPr>
      <w:r>
        <w:rPr>
          <w:sz w:val="28"/>
          <w:szCs w:val="28"/>
        </w:rPr>
        <w:t>оценка обоснованности отнесения каждого объекта инфраструктуры к обеспечивающей или сопутствующей инфраструктуре;</w:t>
      </w:r>
    </w:p>
    <w:p>
      <w:pPr>
        <w:pStyle w:val="ConsPlusNormal"/>
        <w:ind w:left="0" w:right="0" w:firstLine="709"/>
        <w:jc w:val="both"/>
        <w:rPr/>
      </w:pPr>
      <w:r>
        <w:rPr>
          <w:sz w:val="28"/>
          <w:szCs w:val="28"/>
        </w:rPr>
        <w:t>оценка соответствия каждого объекта инфраструктуры потребностям проекта;</w:t>
      </w:r>
    </w:p>
    <w:p>
      <w:pPr>
        <w:pStyle w:val="ConsPlusNormal"/>
        <w:ind w:left="0" w:right="0" w:firstLine="709"/>
        <w:jc w:val="both"/>
        <w:rPr/>
      </w:pPr>
      <w:r>
        <w:rPr>
          <w:color w:val="000000"/>
          <w:sz w:val="28"/>
          <w:szCs w:val="28"/>
        </w:rPr>
        <w:t>оценка соответствия объекта инфраструктуры перечню объектов инфраструктуры, затраты в отношении которых подлежат возмещению в соответствии с настоящим Порядком, определенному в соответствии с пунктом 10 настоящего Порядка;</w:t>
      </w:r>
    </w:p>
    <w:p>
      <w:pPr>
        <w:pStyle w:val="ConsPlusNormal"/>
        <w:ind w:left="0" w:right="0" w:firstLine="709"/>
        <w:jc w:val="both"/>
        <w:rPr/>
      </w:pPr>
      <w:r>
        <w:rPr>
          <w:color w:val="000000"/>
          <w:sz w:val="28"/>
          <w:szCs w:val="28"/>
        </w:rPr>
        <w:t>проверка осуществления расходов, указанных в расчете объема возмещения затрат, указанных в части 1 статьи 15 Федерального закона, подготовленном организацией, реализующей проект, с даты принятия решения об утверждении бюджета на капитальные расходы или после даты принятия решения об осуществлении проекта.</w:t>
      </w:r>
    </w:p>
    <w:p>
      <w:pPr>
        <w:pStyle w:val="ConsPlusNormal"/>
        <w:ind w:left="0" w:right="0" w:firstLine="709"/>
        <w:jc w:val="both"/>
        <w:rPr/>
      </w:pPr>
      <w:r>
        <w:rPr>
          <w:sz w:val="28"/>
          <w:szCs w:val="28"/>
        </w:rPr>
        <w:t>Экспертная организация привлекается организацией, реализующей проект, после ввода объектов проекта и (или) объектов инфраструктуры в эксплуатацию в целях подтверждения фактических затрат, предусмотренных пунктом 9 настоящего Порядка.</w:t>
      </w:r>
    </w:p>
    <w:p>
      <w:pPr>
        <w:pStyle w:val="ConsPlusNormal"/>
        <w:ind w:left="0" w:right="0" w:firstLine="709"/>
        <w:jc w:val="both"/>
        <w:rPr/>
      </w:pPr>
      <w:r>
        <w:rPr>
          <w:sz w:val="28"/>
          <w:szCs w:val="28"/>
        </w:rPr>
        <w:t>Срок проведения экспертной организацией технологического и ценового аудита не может превышать 45 рабочих дней с даты начала его проведения.</w:t>
      </w:r>
    </w:p>
    <w:p>
      <w:pPr>
        <w:pStyle w:val="ConsPlusNormal"/>
        <w:ind w:left="0" w:right="0" w:firstLine="709"/>
        <w:jc w:val="both"/>
        <w:rPr/>
      </w:pPr>
      <w:r>
        <w:rPr>
          <w:sz w:val="28"/>
          <w:szCs w:val="28"/>
        </w:rPr>
        <w:t>Экспертная организация несет ответственность за достоверность сведений, включенных в заключение.</w:t>
      </w:r>
    </w:p>
    <w:p>
      <w:pPr>
        <w:pStyle w:val="ConsPlusNormal"/>
        <w:ind w:left="0" w:right="0" w:firstLine="709"/>
        <w:jc w:val="both"/>
        <w:rPr/>
      </w:pPr>
      <w:r>
        <w:rPr>
          <w:sz w:val="28"/>
          <w:szCs w:val="28"/>
        </w:rPr>
        <w:t>21. Процессы проектирования, строительства (реконструкции), ввода в эксплуатацию объектов сопутствующей инфраструктуры, отношения по созданию которых регулируются законодательством о градостроительной деятельности, должны обеспечивать последующую возможность оформить созданный объект инфраструктуры в качестве объекта гражданских прав в целях его передачи соответствующему публично-правовому образованию или регулируемой организации в соответствии с условиями соглашения о защите и поощрении капиталовложений.</w:t>
      </w:r>
    </w:p>
    <w:p>
      <w:pPr>
        <w:pStyle w:val="ConsPlusNormal"/>
        <w:ind w:left="0" w:right="0" w:firstLine="709"/>
        <w:jc w:val="both"/>
        <w:rPr/>
      </w:pPr>
      <w:bookmarkStart w:id="5" w:name="Par195"/>
      <w:bookmarkEnd w:id="5"/>
      <w:r>
        <w:rPr>
          <w:sz w:val="28"/>
          <w:szCs w:val="28"/>
        </w:rPr>
        <w:t>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 затраты в отношении которых подлежат возмещению в соответствии с настоящим Порядком, устанавливаются договором (соглашением) между организацией, реализующей проект, и соответствующими публично-правовым образованием или регулируемой организацией, в собственность которого (которой) предполагается передача созданного объекта инфраструктуры для дальнейшей эксплуатации.</w:t>
      </w:r>
    </w:p>
    <w:p>
      <w:pPr>
        <w:pStyle w:val="ConsPlusNormal"/>
        <w:ind w:left="0" w:right="0" w:firstLine="709"/>
        <w:jc w:val="both"/>
        <w:rPr/>
      </w:pPr>
      <w:r>
        <w:rPr>
          <w:sz w:val="28"/>
          <w:szCs w:val="28"/>
        </w:rPr>
        <w:t>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w:t>
      </w:r>
    </w:p>
    <w:p>
      <w:pPr>
        <w:pStyle w:val="ConsPlusNormal"/>
        <w:ind w:left="0" w:right="0" w:firstLine="709"/>
        <w:jc w:val="both"/>
        <w:rPr/>
      </w:pPr>
      <w:r>
        <w:rPr>
          <w:b w:val="false"/>
          <w:sz w:val="28"/>
          <w:szCs w:val="28"/>
        </w:rPr>
        <w:t>Период осуществления организацией, реализующей проект, расходов на содержание созданных в результате осуществления капитальных вложений объектов инфраструктуры определяется в соответствии с положениями законодательства Российской Федерации, предусматривающими несение бремени содержания соответствующего имущества.</w:t>
      </w:r>
    </w:p>
    <w:p>
      <w:pPr>
        <w:pStyle w:val="ConsPlusNormal"/>
        <w:ind w:left="0" w:right="0" w:firstLine="709"/>
        <w:jc w:val="both"/>
        <w:rPr/>
      </w:pPr>
      <w:r>
        <w:rPr>
          <w:sz w:val="28"/>
          <w:szCs w:val="28"/>
        </w:rPr>
        <w:t>22. Субсидии на возмещение затрат по направлениям, указанным в абзацах третьем и четвертом пункта 9 настоящего Порядка, предоставляются в целях компенсации части расходов на уплату процентов по кредитам и займам, предоставленным российскими кредитными организациями, государственной корпорацией развития «ВЭБ.РФ», а также в целях компенсации части расходов на уплату купонного дохода по облигационным займам. Расходы, указанные в настоящем пункте, должны быть произведены не ранее даты принятия решения организацией, реализующей проект, об утверждении бюджета на капитальные расходы.</w:t>
      </w:r>
    </w:p>
    <w:p>
      <w:pPr>
        <w:pStyle w:val="ConsPlusNormal"/>
        <w:ind w:left="0" w:right="0" w:firstLine="709"/>
        <w:jc w:val="both"/>
        <w:rPr/>
      </w:pPr>
      <w:r>
        <w:rPr>
          <w:sz w:val="28"/>
          <w:szCs w:val="28"/>
        </w:rPr>
        <w:t>Цель кредита и займа в соответствии с кредитным договором и договором займа (цель облигационного займа в соответствии с проспектом эмиссии) должна быть однозначно определена как цель создания объекта инфраструктуры и (или) создания (строительства) новых либо реконструкции и (или) модернизации существующих объектов проекта. Сумма кредита, сумма займа или сумма облигационного займа не может превышать предполагаемую (предельную) стоимость создания объекта инфраструктуры и (или) создания (строительства) новых либо реконструкции и (или) модернизации существующих объектов проекта, подтвержденную положительным заключением о проведении государственной экспертизы проектной документации такого объекта и проверки достоверности определения его сметной стоимости, по объектам, отношения по созданию которых регулируются законодательством о градостроительной деятельности, и (или) создания результатов интеллектуальной деятельности и (или) приравненых к ним средств индивидуализации. Затраты на уплату дополнительных комиссий, банковских штрафов, а также процентов, начисленных и уплаченных по просроченной ссудной задолженности, не подлежат возмещению.</w:t>
      </w:r>
    </w:p>
    <w:p>
      <w:pPr>
        <w:pStyle w:val="ConsPlusNormal"/>
        <w:ind w:left="0" w:right="0" w:firstLine="709"/>
        <w:jc w:val="both"/>
        <w:rPr/>
      </w:pPr>
      <w:r>
        <w:rPr>
          <w:sz w:val="28"/>
          <w:szCs w:val="28"/>
        </w:rPr>
        <w:t>Субсидии на возмещение затрат на уплату процентов по кредитам и займам, купонного дохода по облигационным займам предоставляются в случае, если денежные средства предоставлены по кредитному договору, договору займа, в том числе облигационного займа, в целях:</w:t>
      </w:r>
    </w:p>
    <w:p>
      <w:pPr>
        <w:pStyle w:val="ConsPlusNormal"/>
        <w:ind w:left="0" w:right="0" w:firstLine="709"/>
        <w:jc w:val="both"/>
        <w:rPr/>
      </w:pPr>
      <w:r>
        <w:rPr>
          <w:sz w:val="28"/>
          <w:szCs w:val="28"/>
        </w:rPr>
        <w:t>реализации проекта в части создания (строительства) новых либо реконструкции и (или) модернизации существующих объектов проекта. При этом в указанном в абзаце третьем настоящего пункта кредитном договоре предусматривается предоставление средств кредита на цели, указанные в абзаце втором настоящего пункта, в рамках отдельной кредитной линии (транша) и (или) порядок подтверждения организацией, реализующей проект, целевого использования средств кредита;</w:t>
      </w:r>
    </w:p>
    <w:p>
      <w:pPr>
        <w:pStyle w:val="ConsPlusNormal"/>
        <w:ind w:left="0" w:right="0" w:firstLine="709"/>
        <w:jc w:val="both"/>
        <w:rPr/>
      </w:pPr>
      <w:r>
        <w:rPr>
          <w:sz w:val="28"/>
          <w:szCs w:val="28"/>
        </w:rPr>
        <w:t>создания объекта инфраструктуры, необходимого для реализации проекта, в том числе реконструкции объекта инфраструктуры, находящегося в государственной (муниципальной) собственности.</w:t>
      </w:r>
    </w:p>
    <w:p>
      <w:pPr>
        <w:pStyle w:val="ConsPlusNormal"/>
        <w:ind w:left="0" w:right="0" w:firstLine="709"/>
        <w:jc w:val="both"/>
        <w:rPr/>
      </w:pPr>
      <w:r>
        <w:rPr>
          <w:sz w:val="28"/>
          <w:szCs w:val="28"/>
        </w:rPr>
        <w:t xml:space="preserve">23. Размер субсидии определяется по форме расчета объема возмещения  затрат, указанных в части 1 статьи 15 Федерального закона, понесенных организацией, реализующей проект, </w:t>
      </w:r>
      <w:r>
        <w:rPr>
          <w:b w:val="false"/>
          <w:sz w:val="28"/>
          <w:szCs w:val="28"/>
        </w:rPr>
        <w:t>в рамках осуществления инвестиционного проекта, в отношении которого заключено соглашение о защите и поощрении капиталовложений в соответствии с приложением № 2 к Правилам возмещения затрат, утвержденным постановлением Правительства Российской Федерации от 03.10.2020 № 1</w:t>
      </w:r>
      <w:r>
        <w:rPr>
          <w:b w:val="false"/>
          <w:color w:val="000000"/>
          <w:sz w:val="28"/>
          <w:szCs w:val="28"/>
        </w:rPr>
        <w:t xml:space="preserve">599 </w:t>
      </w:r>
      <w:r>
        <w:rPr>
          <w:color w:val="000000"/>
          <w:sz w:val="28"/>
          <w:szCs w:val="28"/>
        </w:rPr>
        <w:t>и не может превышать (нормативы возмещения затрат):</w:t>
      </w:r>
    </w:p>
    <w:p>
      <w:pPr>
        <w:pStyle w:val="ConsPlusNormal"/>
        <w:ind w:left="0" w:right="0" w:firstLine="709"/>
        <w:jc w:val="both"/>
        <w:rPr/>
      </w:pPr>
      <w:r>
        <w:rPr>
          <w:sz w:val="28"/>
          <w:szCs w:val="28"/>
        </w:rPr>
        <w:t>50 процентов, фактически понесенных организациями, реализующими проект, затрат:</w:t>
      </w:r>
    </w:p>
    <w:p>
      <w:pPr>
        <w:pStyle w:val="ConsPlusNormal"/>
        <w:ind w:left="0" w:right="0" w:firstLine="709"/>
        <w:jc w:val="both"/>
        <w:rPr/>
      </w:pPr>
      <w:r>
        <w:rPr>
          <w:sz w:val="28"/>
          <w:szCs w:val="28"/>
        </w:rPr>
        <w:t>на создание обеспечивающей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pPr>
        <w:pStyle w:val="ConsPlusNormal"/>
        <w:ind w:left="0" w:right="0" w:firstLine="709"/>
        <w:jc w:val="both"/>
        <w:rPr/>
      </w:pPr>
      <w:r>
        <w:rPr>
          <w:sz w:val="28"/>
          <w:szCs w:val="28"/>
        </w:rPr>
        <w:t>на уплату процентов по кредитам и займам, купонного дохода по облигационным займам, привлеченным для создания обеспечивающей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w:t>
      </w:r>
    </w:p>
    <w:p>
      <w:pPr>
        <w:pStyle w:val="ConsPlusNormal"/>
        <w:ind w:left="0" w:right="0" w:firstLine="709"/>
        <w:jc w:val="both"/>
        <w:rPr/>
      </w:pPr>
      <w:r>
        <w:rPr>
          <w:sz w:val="28"/>
          <w:szCs w:val="28"/>
        </w:rPr>
        <w:t>на уплату процентов по кредитам и займам, купонного дохода по облигационным займам, привлеченным для реализации проекта в части создания (строительства) новых либо реконструкции и (или) модернизации существующих объектов проекта,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pPr>
        <w:pStyle w:val="ConsPlusNormal"/>
        <w:ind w:left="0" w:right="0" w:firstLine="709"/>
        <w:jc w:val="both"/>
        <w:rPr/>
      </w:pPr>
      <w:r>
        <w:rPr>
          <w:sz w:val="28"/>
          <w:szCs w:val="28"/>
        </w:rPr>
        <w:t>100 процентов, фактически понесенных организациями, реализующими проект, затрат:</w:t>
      </w:r>
    </w:p>
    <w:p>
      <w:pPr>
        <w:pStyle w:val="ConsPlusNormal"/>
        <w:ind w:left="0" w:right="0" w:firstLine="709"/>
        <w:jc w:val="both"/>
        <w:rPr/>
      </w:pPr>
      <w:r>
        <w:rPr>
          <w:sz w:val="28"/>
          <w:szCs w:val="28"/>
        </w:rPr>
        <w:t>на создание сопутствующей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pPr>
        <w:pStyle w:val="ConsPlusNormal"/>
        <w:ind w:left="0" w:right="0" w:firstLine="709"/>
        <w:jc w:val="both"/>
        <w:rPr/>
      </w:pPr>
      <w:r>
        <w:rPr>
          <w:sz w:val="28"/>
          <w:szCs w:val="28"/>
        </w:rPr>
        <w:t>на уплату процентов по кредитам и займам, купонного дохода по облигационным займам, привлеченным для создания сопутствующей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w:t>
      </w:r>
    </w:p>
    <w:p>
      <w:pPr>
        <w:pStyle w:val="ConsPlusNormal"/>
        <w:ind w:left="0" w:right="0" w:firstLine="709"/>
        <w:jc w:val="both"/>
        <w:rPr/>
      </w:pPr>
      <w:r>
        <w:rPr>
          <w:sz w:val="28"/>
          <w:szCs w:val="28"/>
        </w:rPr>
        <w:t>При этом общий размер субсидий, предоставленных с соблюдением предельных размеров, указанных в абзацах втором и шестом настоящего пункта, а также с учетом положений части 5 статьи 15 Федерального закона, не должен превышать:</w:t>
      </w:r>
    </w:p>
    <w:p>
      <w:pPr>
        <w:pStyle w:val="ConsPlusNormal"/>
        <w:ind w:left="0" w:right="0" w:firstLine="709"/>
        <w:jc w:val="both"/>
        <w:rPr/>
      </w:pPr>
      <w:r>
        <w:rPr>
          <w:strike w:val="false"/>
          <w:dstrike w:val="false"/>
          <w:sz w:val="28"/>
          <w:szCs w:val="28"/>
        </w:rPr>
        <w:t>размер налогов (</w:t>
      </w:r>
      <w:r>
        <w:rPr>
          <w:b w:val="false"/>
          <w:strike w:val="false"/>
          <w:dstrike w:val="false"/>
          <w:sz w:val="28"/>
          <w:szCs w:val="28"/>
        </w:rPr>
        <w:t xml:space="preserve">налога на прибыль организаций, подлежащего зачислению в бюджет Республики Татарстан в соответствии с Налоговым </w:t>
      </w:r>
      <w:hyperlink r:id="rId15">
        <w:r>
          <w:rPr>
            <w:b w:val="false"/>
            <w:strike w:val="false"/>
            <w:dstrike w:val="false"/>
            <w:color w:val="000000"/>
            <w:sz w:val="28"/>
            <w:szCs w:val="28"/>
            <w:u w:val="none"/>
            <w:effect w:val="none"/>
          </w:rPr>
          <w:t>кодексом</w:t>
        </w:r>
      </w:hyperlink>
      <w:r>
        <w:rPr>
          <w:b w:val="false"/>
          <w:strike w:val="false"/>
          <w:dstrike w:val="false"/>
          <w:sz w:val="28"/>
          <w:szCs w:val="28"/>
        </w:rPr>
        <w:t xml:space="preserve"> Российской Федерации, и налога на имущество организаций),</w:t>
      </w:r>
      <w:r>
        <w:rPr>
          <w:strike w:val="false"/>
          <w:dstrike w:val="false"/>
          <w:sz w:val="28"/>
          <w:szCs w:val="28"/>
        </w:rPr>
        <w:t xml:space="preserve"> уплаченных организацией, реализующей проект, в бюджет Республики Татарстан в связи с реализацией проекта на стадии эксплуатации (функционирования) объектов проекта в финансовом году, предшествующем году предоставления субсидии;</w:t>
      </w:r>
    </w:p>
    <w:p>
      <w:pPr>
        <w:pStyle w:val="ConsPlusNormal"/>
        <w:ind w:left="0" w:right="0" w:firstLine="709"/>
        <w:jc w:val="both"/>
        <w:rPr/>
      </w:pPr>
      <w:r>
        <w:rPr>
          <w:sz w:val="28"/>
          <w:szCs w:val="28"/>
        </w:rPr>
        <w:t xml:space="preserve">сметную стоимость создания объектов инфраструктуры, отношения по созданию которых регулируются законодательством о градостроительной деятельности,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индексов-дефляторов, установленных Министерством экономического развития Российской Федерации на период создания объектов инфраструктуры, в случае предоставления субсидии по направлению, указанному в </w:t>
      </w:r>
      <w:hyperlink w:anchor="Par112" w:tgtFrame="4. Субсидии предоставляются в целях возмещения организациям, реализующим проекты, затрат:">
        <w:r>
          <w:rPr>
            <w:sz w:val="28"/>
            <w:szCs w:val="28"/>
          </w:rPr>
          <w:t xml:space="preserve">абзаце втором пункта </w:t>
        </w:r>
      </w:hyperlink>
      <w:r>
        <w:rPr>
          <w:sz w:val="28"/>
          <w:szCs w:val="28"/>
        </w:rPr>
        <w:t>9 настоящего Порядка, в случае 100-процентного возмещения затрат;</w:t>
      </w:r>
    </w:p>
    <w:p>
      <w:pPr>
        <w:pStyle w:val="ConsPlusNormal"/>
        <w:ind w:left="0" w:right="0" w:firstLine="709"/>
        <w:jc w:val="both"/>
        <w:rPr/>
      </w:pPr>
      <w:r>
        <w:rPr>
          <w:sz w:val="28"/>
          <w:szCs w:val="28"/>
        </w:rPr>
        <w:t>двух третьих ключевой ставки Центрального банка Российской Федерации, действующей на дату уплаты процентов по кредиту и займу в случае предоставления субсидии по направлениям, указанным в абзацах третьем и четвертом пункта 9 настоящего Порядка;</w:t>
      </w:r>
    </w:p>
    <w:p>
      <w:pPr>
        <w:pStyle w:val="ConsPlusNormal"/>
        <w:ind w:left="0" w:right="0" w:firstLine="709"/>
        <w:jc w:val="both"/>
        <w:rPr/>
      </w:pPr>
      <w:r>
        <w:rPr>
          <w:sz w:val="28"/>
          <w:szCs w:val="28"/>
        </w:rPr>
        <w:t xml:space="preserve">70 процентов базового индикатора, определяемого в соответствии с </w:t>
      </w:r>
      <w:hyperlink r:id="rId16">
        <w:r>
          <w:rPr>
            <w:sz w:val="28"/>
            <w:szCs w:val="28"/>
          </w:rPr>
          <w:t>постановлением</w:t>
        </w:r>
      </w:hyperlink>
      <w:r>
        <w:rPr>
          <w:sz w:val="28"/>
          <w:szCs w:val="28"/>
        </w:rPr>
        <w:t xml:space="preserve"> Правительства Российской Федерации №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 </w:t>
      </w:r>
      <w:hyperlink r:id="rId17">
        <w:r>
          <w:rPr>
            <w:sz w:val="28"/>
            <w:szCs w:val="28"/>
          </w:rPr>
          <w:t>постановление</w:t>
        </w:r>
      </w:hyperlink>
      <w:r>
        <w:rPr>
          <w:sz w:val="28"/>
          <w:szCs w:val="28"/>
        </w:rPr>
        <w:t xml:space="preserve"> Правительства Российской Федерации № 702), при возмещении затрат на выплату купонного дохода по облигационным займам, но не более предельного уровня конечной ставки кредитования, рассчитанного в соответствии с </w:t>
      </w:r>
      <w:hyperlink r:id="rId18">
        <w:r>
          <w:rPr>
            <w:sz w:val="28"/>
            <w:szCs w:val="28"/>
          </w:rPr>
          <w:t>постановлением</w:t>
        </w:r>
      </w:hyperlink>
      <w:r>
        <w:rPr>
          <w:sz w:val="28"/>
          <w:szCs w:val="28"/>
        </w:rPr>
        <w:t xml:space="preserve"> Правительства Российской Федерации № 702, в случае предоставления субсидии по направлениям, указанным в абзацах третьем и четвертом пункта 9 настоящего Порядка;</w:t>
      </w:r>
    </w:p>
    <w:p>
      <w:pPr>
        <w:pStyle w:val="ConsPlusNormal"/>
        <w:ind w:left="0" w:right="0" w:firstLine="709"/>
        <w:jc w:val="both"/>
        <w:rPr/>
      </w:pPr>
      <w:r>
        <w:rPr>
          <w:sz w:val="28"/>
          <w:szCs w:val="28"/>
        </w:rPr>
        <w:t xml:space="preserve">размер платы за технологическое присоединение к сетям инженерно-технического обеспечения по договорам, цена которых установлена соответствующим федеральным органом исполнительной власти в области государственного регулирования тарифов или исполнительным органом субъекта Российской Федерации в области государственного регулирования тарифов, или определенный на основании утвержденных такими органами стандартизированных тарифных ставок, а в случае отсутствия утвержденных тарифов - размер платы за технологическое присоединение в соответствии с заключенным договором на подключение (технологическое присоединение) в случае предоставления субсидии по направлению, указанному в </w:t>
      </w:r>
      <w:hyperlink w:anchor="Par112" w:tgtFrame="4. Субсидии предоставляются в целях возмещения организациям, реализующим проекты, затрат:">
        <w:r>
          <w:rPr>
            <w:sz w:val="28"/>
            <w:szCs w:val="28"/>
          </w:rPr>
          <w:t xml:space="preserve">абзаце втором пункта </w:t>
        </w:r>
      </w:hyperlink>
      <w:r>
        <w:rPr>
          <w:sz w:val="28"/>
          <w:szCs w:val="28"/>
        </w:rPr>
        <w:t>9 настоящего Порядка;</w:t>
      </w:r>
    </w:p>
    <w:p>
      <w:pPr>
        <w:pStyle w:val="ConsPlusNormal"/>
        <w:ind w:left="0" w:right="0" w:firstLine="709"/>
        <w:jc w:val="both"/>
        <w:rPr/>
      </w:pPr>
      <w:r>
        <w:rPr>
          <w:sz w:val="28"/>
          <w:szCs w:val="28"/>
        </w:rPr>
        <w:t xml:space="preserve">размер платы за подключение (технологическое присоединение, примыкание) к инфраструктуре субъектов естественных монополий, транспортным сетям в соответствии с заключенными договорами на такое подключение (технологическое присоединение, примыкание) в случае предоставления субсидии по направлению, указанному в </w:t>
      </w:r>
      <w:hyperlink w:anchor="Par112" w:tgtFrame="4. Субсидии предоставляются в целях возмещения организациям, реализующим проекты, затрат:">
        <w:r>
          <w:rPr>
            <w:sz w:val="28"/>
            <w:szCs w:val="28"/>
          </w:rPr>
          <w:t xml:space="preserve">абзаце втором пункта </w:t>
        </w:r>
      </w:hyperlink>
      <w:r>
        <w:rPr>
          <w:sz w:val="28"/>
          <w:szCs w:val="28"/>
        </w:rPr>
        <w:t>9 настоящего Порядка;</w:t>
      </w:r>
    </w:p>
    <w:p>
      <w:pPr>
        <w:pStyle w:val="ConsPlusNormal"/>
        <w:ind w:left="0" w:right="0" w:firstLine="709"/>
        <w:jc w:val="both"/>
        <w:rPr/>
      </w:pPr>
      <w:r>
        <w:rPr>
          <w:sz w:val="28"/>
          <w:szCs w:val="28"/>
        </w:rPr>
        <w:t xml:space="preserve">сметную стоимость создания объектов инфраструктуры, отношения по созданию которых регулируются законодательством Российской Федерации о градостроительной деятельности (в том числе законодательством Российской Федерации в соответствующей отрасли экономики), за исключением законодательства о градостроительной деятельности, в случае предоставления субсидии по направлению, указанному в </w:t>
      </w:r>
      <w:hyperlink w:anchor="Par112" w:tgtFrame="4. Субсидии предоставляются в целях возмещения организациям, реализующим проекты, затрат:">
        <w:r>
          <w:rPr>
            <w:sz w:val="28"/>
            <w:szCs w:val="28"/>
          </w:rPr>
          <w:t xml:space="preserve">абзаце третьем пункта </w:t>
        </w:r>
      </w:hyperlink>
      <w:r>
        <w:rPr>
          <w:sz w:val="28"/>
          <w:szCs w:val="28"/>
        </w:rPr>
        <w:t>9 настоящего Порядка.</w:t>
      </w:r>
    </w:p>
    <w:p>
      <w:pPr>
        <w:pStyle w:val="ConsPlusNormal"/>
        <w:ind w:left="0" w:right="0" w:firstLine="709"/>
        <w:jc w:val="both"/>
        <w:rPr/>
      </w:pPr>
      <w:r>
        <w:rPr>
          <w:color w:val="000000"/>
          <w:sz w:val="28"/>
          <w:szCs w:val="28"/>
        </w:rPr>
        <w:t xml:space="preserve">В случае предоставления других мер прямой государственной финансовой поддержки в отношении проекта возмещение затрат, предусмотренных </w:t>
      </w:r>
      <w:hyperlink r:id="rId19" w:tgtFrame="Федеральный закон от 01.04.2020 N 69-ФЗ (ред. от 30.11.2024) \&quot;О защите и поощрении капиталовложений в Российской Федерации\&quot;{КонсультантПлюс}">
        <w:r>
          <w:rPr>
            <w:color w:val="000000"/>
            <w:sz w:val="28"/>
            <w:szCs w:val="28"/>
          </w:rPr>
          <w:t>частью 1 статьи 15</w:t>
        </w:r>
      </w:hyperlink>
      <w:r>
        <w:rPr>
          <w:color w:val="000000"/>
          <w:sz w:val="28"/>
          <w:szCs w:val="28"/>
        </w:rPr>
        <w:t xml:space="preserve"> Федерального закона, может осуществляться в размере, не превышающем предельный объем таких затрат, определенный в соответствии с </w:t>
      </w:r>
      <w:hyperlink r:id="rId20" w:tgtFrame="Федеральный закон от 01.04.2020 N 69-ФЗ (ред. от 30.11.2024) \&quot;О защите и поощрении капиталовложений в Российской Федерации\&quot;{КонсультантПлюс}">
        <w:r>
          <w:rPr>
            <w:color w:val="000000"/>
            <w:sz w:val="28"/>
            <w:szCs w:val="28"/>
          </w:rPr>
          <w:t>частью 4 статьи 15</w:t>
        </w:r>
      </w:hyperlink>
      <w:r>
        <w:rPr>
          <w:color w:val="000000"/>
          <w:sz w:val="28"/>
          <w:szCs w:val="28"/>
        </w:rPr>
        <w:t xml:space="preserve"> Федерального закона, за вычетом других предоставленных мер прямой государственной финансовой поддержки.</w:t>
      </w:r>
    </w:p>
    <w:p>
      <w:pPr>
        <w:pStyle w:val="ConsPlusNormal"/>
        <w:ind w:left="0" w:right="0" w:firstLine="709"/>
        <w:jc w:val="both"/>
        <w:rPr/>
      </w:pPr>
      <w:r>
        <w:rPr>
          <w:sz w:val="28"/>
          <w:szCs w:val="28"/>
        </w:rPr>
        <w:t xml:space="preserve">24. Предельный срок, в течение которого возмещаются затраты, указанные в </w:t>
      </w:r>
      <w:hyperlink w:anchor="Par112" w:tgtFrame="4. Субсидии предоставляются в целях возмещения организациям, реализующим проекты, затрат:">
        <w:r>
          <w:rPr>
            <w:sz w:val="28"/>
            <w:szCs w:val="28"/>
          </w:rPr>
          <w:t xml:space="preserve">пункте </w:t>
        </w:r>
      </w:hyperlink>
      <w:r>
        <w:rPr>
          <w:sz w:val="28"/>
          <w:szCs w:val="28"/>
        </w:rPr>
        <w:t xml:space="preserve">9 настоящего Порядка, определяется в соответствии с </w:t>
      </w:r>
      <w:hyperlink r:id="rId21">
        <w:r>
          <w:rPr>
            <w:sz w:val="28"/>
            <w:szCs w:val="28"/>
          </w:rPr>
          <w:t>частями 6</w:t>
        </w:r>
      </w:hyperlink>
      <w:r>
        <w:rPr>
          <w:sz w:val="28"/>
          <w:szCs w:val="28"/>
        </w:rPr>
        <w:t xml:space="preserve"> - </w:t>
      </w:r>
      <w:hyperlink r:id="rId22">
        <w:r>
          <w:rPr>
            <w:sz w:val="28"/>
            <w:szCs w:val="28"/>
          </w:rPr>
          <w:t>8 статьи 15</w:t>
        </w:r>
      </w:hyperlink>
      <w:r>
        <w:rPr>
          <w:sz w:val="28"/>
          <w:szCs w:val="28"/>
        </w:rPr>
        <w:t xml:space="preserve"> Федерального закона.</w:t>
      </w:r>
    </w:p>
    <w:p>
      <w:pPr>
        <w:pStyle w:val="ConsPlusNormal"/>
        <w:ind w:left="0" w:right="0" w:firstLine="709"/>
        <w:jc w:val="both"/>
        <w:rPr/>
      </w:pPr>
      <w:r>
        <w:rPr>
          <w:sz w:val="28"/>
          <w:szCs w:val="28"/>
        </w:rPr>
        <w:t>25. Организация, реализующая проект, на любое число месяца, в котором подаются документы, указанные в пункте 27 настоящего Порядка и на любое число месяца, в котором подается заявление о заключении соглашения о предоставлении субсидии в соответствии с пунктом 37 настоящего Порядка, должна соответствовать следующим требованиям:</w:t>
      </w:r>
    </w:p>
    <w:p>
      <w:pPr>
        <w:pStyle w:val="Normal"/>
        <w:spacing w:lineRule="auto" w:line="252" w:before="0" w:after="0"/>
        <w:ind w:left="0" w:right="0" w:firstLine="709"/>
        <w:jc w:val="both"/>
        <w:rPr/>
      </w:pPr>
      <w:r>
        <w:rPr>
          <w:rFonts w:ascii="Times New Roman" w:hAnsi="Times New Roman"/>
          <w:sz w:val="28"/>
          <w:szCs w:val="28"/>
        </w:rPr>
        <w:t xml:space="preserve">у организации, реализующей проект,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w:t>
      </w:r>
    </w:p>
    <w:p>
      <w:pPr>
        <w:pStyle w:val="Normal"/>
        <w:spacing w:lineRule="auto" w:line="252" w:before="0" w:after="0"/>
        <w:ind w:left="0" w:right="0" w:firstLine="709"/>
        <w:jc w:val="both"/>
        <w:rPr/>
      </w:pPr>
      <w:r>
        <w:rPr>
          <w:rFonts w:ascii="Times New Roman" w:hAnsi="Times New Roman"/>
          <w:sz w:val="28"/>
          <w:szCs w:val="28"/>
        </w:rPr>
        <w:t>у организации, реализующей проект, отсутствует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pPr>
        <w:pStyle w:val="Normal"/>
        <w:spacing w:lineRule="auto" w:line="252" w:before="0" w:after="0"/>
        <w:ind w:left="0" w:right="0" w:firstLine="709"/>
        <w:jc w:val="both"/>
        <w:rPr/>
      </w:pPr>
      <w:r>
        <w:rPr>
          <w:rFonts w:ascii="Times New Roman" w:hAnsi="Times New Roman"/>
          <w:sz w:val="28"/>
          <w:szCs w:val="28"/>
        </w:rPr>
        <w:t xml:space="preserve">организация, реализующая проект, не находится в процессе реорганизации, ликвидации, в отношении нее не введена процедура банкротства, деятельность организации, реализующей проект, не приостановлена в порядке, предусмотренном законодательством Российской Федерации; </w:t>
      </w:r>
    </w:p>
    <w:p>
      <w:pPr>
        <w:pStyle w:val="Normal"/>
        <w:spacing w:lineRule="auto" w:line="252" w:before="0" w:after="0"/>
        <w:ind w:left="0" w:right="0" w:firstLine="709"/>
        <w:jc w:val="both"/>
        <w:rPr/>
      </w:pPr>
      <w:r>
        <w:rPr>
          <w:rFonts w:ascii="Times New Roman" w:hAnsi="Times New Roman"/>
          <w:sz w:val="28"/>
          <w:szCs w:val="28"/>
        </w:rPr>
        <w:t xml:space="preserve">организация, реализующая проект,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(офшорные зоны), в совокупности превышает 25 процентов; </w:t>
      </w:r>
    </w:p>
    <w:p>
      <w:pPr>
        <w:pStyle w:val="Normal"/>
        <w:spacing w:lineRule="auto" w:line="252" w:before="0" w:after="0"/>
        <w:ind w:left="0" w:right="0" w:firstLine="709"/>
        <w:jc w:val="both"/>
        <w:rPr/>
      </w:pPr>
      <w:r>
        <w:rPr>
          <w:rFonts w:ascii="Times New Roman" w:hAnsi="Times New Roman"/>
          <w:sz w:val="28"/>
          <w:szCs w:val="28"/>
        </w:rPr>
        <w:t xml:space="preserve">организация, реализующая проект, является стороной соглашения о защите и поощрении капиталовложений; </w:t>
      </w:r>
    </w:p>
    <w:p>
      <w:pPr>
        <w:pStyle w:val="Normal"/>
        <w:spacing w:lineRule="auto" w:line="252" w:before="0" w:after="0"/>
        <w:ind w:left="0" w:right="0" w:firstLine="709"/>
        <w:jc w:val="both"/>
        <w:rPr/>
      </w:pPr>
      <w:r>
        <w:rPr>
          <w:rFonts w:ascii="Times New Roman" w:hAnsi="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реализующей проект. </w:t>
      </w:r>
    </w:p>
    <w:p>
      <w:pPr>
        <w:pStyle w:val="ConsPlusNormal"/>
        <w:ind w:left="0" w:right="0" w:firstLine="709"/>
        <w:jc w:val="both"/>
        <w:rPr/>
      </w:pPr>
      <w:r>
        <w:rPr>
          <w:sz w:val="28"/>
          <w:szCs w:val="28"/>
        </w:rPr>
        <w:t>26. Проект должен соответствовать следующим требованиям:</w:t>
      </w:r>
    </w:p>
    <w:p>
      <w:pPr>
        <w:pStyle w:val="Normal"/>
        <w:spacing w:lineRule="auto" w:line="252" w:before="0" w:after="0"/>
        <w:ind w:left="0" w:right="0" w:firstLine="709"/>
        <w:jc w:val="both"/>
        <w:rPr/>
      </w:pPr>
      <w:r>
        <w:rPr>
          <w:rFonts w:ascii="Times New Roman" w:hAnsi="Times New Roman"/>
          <w:sz w:val="28"/>
          <w:szCs w:val="28"/>
        </w:rPr>
        <w:t xml:space="preserve">определен перечень объектов инфраструктуры с отнесением их к обеспечивающей или сопутствующей инфраструктуре </w:t>
      </w:r>
      <w:r>
        <w:rPr>
          <w:rFonts w:ascii="Times New Roman" w:hAnsi="Times New Roman"/>
          <w:b w:val="false"/>
          <w:sz w:val="28"/>
          <w:szCs w:val="28"/>
        </w:rPr>
        <w:t>в соответствии с пунктом 10 настоящего Порядка</w:t>
      </w:r>
      <w:r>
        <w:rPr>
          <w:rFonts w:ascii="Times New Roman" w:hAnsi="Times New Roman"/>
          <w:sz w:val="28"/>
          <w:szCs w:val="28"/>
        </w:rPr>
        <w:t>, подтверждено соответствие объектов инфраструктуры потребностям проекта в соответствии с пунктом 11 настоящего Порядка, определен балансодержатель создаваемых объектов инфраструктуры в соглашении о защите и поощрении капиталовложений;</w:t>
      </w:r>
    </w:p>
    <w:p>
      <w:pPr>
        <w:pStyle w:val="Normal"/>
        <w:spacing w:lineRule="auto" w:line="252" w:before="0" w:after="0"/>
        <w:ind w:left="0" w:right="0" w:firstLine="709"/>
        <w:jc w:val="both"/>
        <w:rPr/>
      </w:pPr>
      <w:r>
        <w:rPr>
          <w:rFonts w:ascii="Times New Roman" w:hAnsi="Times New Roman"/>
          <w:sz w:val="28"/>
          <w:szCs w:val="28"/>
        </w:rPr>
        <w:t>осуществлена государственная регистрация имущественных прав на все созданные объекты проекта (в применимых случаях и на объекты инфраструктуры проекта), в том числе прав на результаты интеллектуальной деятельности и приравненные к ним средства индивидуализации (в применимых случаях);</w:t>
      </w:r>
    </w:p>
    <w:p>
      <w:pPr>
        <w:pStyle w:val="ConsPlusNormal"/>
        <w:ind w:left="0" w:right="0" w:firstLine="709"/>
        <w:jc w:val="both"/>
        <w:rPr/>
      </w:pPr>
      <w:r>
        <w:rPr>
          <w:sz w:val="28"/>
          <w:szCs w:val="28"/>
        </w:rPr>
        <w:t>все объекты проекта введены в эксплуатацию в соответствии с законодательством Российской Федерации (если объект инфраструктуры остается в эксплуатации организации, реализующей проект, или регулируемой организации, - также факт ввода в эксплуатацию объектов инфраструктуры);</w:t>
      </w:r>
    </w:p>
    <w:p>
      <w:pPr>
        <w:pStyle w:val="ConsPlusNormal"/>
        <w:ind w:left="0" w:right="0" w:firstLine="709"/>
        <w:jc w:val="both"/>
        <w:rPr/>
      </w:pPr>
      <w:r>
        <w:rPr>
          <w:sz w:val="28"/>
          <w:szCs w:val="28"/>
        </w:rPr>
        <w:t>объекты инфраструктуры проекта переданы на баланс балансодержателей, определенных в соглашении о защите и поощрении капиталовложений, или в случаях, установленных соглашением о защите и поощрении капиталовложений, получены согласия будущих балансодержателей на принятие на баланс объекта сопутствующей инфраструктуры в случае, если объект инфраструктуры остается в эксплуатации у регулируемой организации, - зафиксированы обязательства такой организации по финансовому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проекта;</w:t>
      </w:r>
    </w:p>
    <w:p>
      <w:pPr>
        <w:pStyle w:val="ConsPlusNormal"/>
        <w:ind w:left="0" w:right="0" w:firstLine="709"/>
        <w:jc w:val="both"/>
        <w:rPr/>
      </w:pPr>
      <w:r>
        <w:rPr>
          <w:sz w:val="28"/>
          <w:szCs w:val="28"/>
        </w:rPr>
        <w:t>подтверждено осуществление организацией, реализующей проект, затрат, указанных в пункте 9 настоящего Порядка, в полном объеме на цель, указанную в настоящем Порядке;</w:t>
      </w:r>
    </w:p>
    <w:p>
      <w:pPr>
        <w:pStyle w:val="ConsPlusNormal"/>
        <w:ind w:left="0" w:right="0" w:firstLine="709"/>
        <w:jc w:val="both"/>
        <w:rPr/>
      </w:pPr>
      <w:r>
        <w:rPr>
          <w:sz w:val="28"/>
          <w:szCs w:val="28"/>
        </w:rPr>
        <w:t>соблюдены нормативы возмещения затрат (предельного объема расходов бюджетов бюджетной системы Российской Федерации на возмещение затрат), установленные настоящим Порядком;</w:t>
      </w:r>
    </w:p>
    <w:p>
      <w:pPr>
        <w:pStyle w:val="ConsPlusNormal"/>
        <w:ind w:left="0" w:right="0" w:firstLine="709"/>
        <w:jc w:val="both"/>
        <w:rPr/>
      </w:pPr>
      <w:r>
        <w:rPr>
          <w:sz w:val="28"/>
          <w:szCs w:val="28"/>
        </w:rPr>
        <w:t xml:space="preserve">подтверждено отсутствие в инвестиционных программах регулируемых организаций (за исключением случая, указанного в </w:t>
      </w:r>
      <w:hyperlink r:id="rId23">
        <w:r>
          <w:rPr>
            <w:sz w:val="28"/>
            <w:szCs w:val="28"/>
          </w:rPr>
          <w:t>части 20 статьи 15</w:t>
        </w:r>
      </w:hyperlink>
      <w:r>
        <w:rPr>
          <w:sz w:val="28"/>
          <w:szCs w:val="28"/>
        </w:rPr>
        <w:t xml:space="preserve"> Федерального закона) и (или) в применимых случаях в программах перспективного развития отдельных отраслей экономики проектов создания объектов инфраструктуры, затраты в отношении которых подлежат возмещению в соответствии с настоящим Порядком;</w:t>
      </w:r>
    </w:p>
    <w:p>
      <w:pPr>
        <w:pStyle w:val="ConsPlusNormal"/>
        <w:ind w:left="0" w:right="0" w:firstLine="709"/>
        <w:jc w:val="both"/>
        <w:rPr/>
      </w:pPr>
      <w:r>
        <w:rPr>
          <w:sz w:val="28"/>
          <w:szCs w:val="28"/>
        </w:rPr>
        <w:t xml:space="preserve">в случае передачи объектов сопутствующей инфраструктуры, создаваемой в рамках реализации проекта в государственную (муниципальную) собственность или поступающих в собственность регулируемой организации, в соответствии с </w:t>
      </w:r>
      <w:hyperlink r:id="rId24">
        <w:r>
          <w:rPr>
            <w:sz w:val="28"/>
            <w:szCs w:val="28"/>
          </w:rPr>
          <w:t>частью 18 статьи 15</w:t>
        </w:r>
      </w:hyperlink>
      <w:r>
        <w:rPr>
          <w:sz w:val="28"/>
          <w:szCs w:val="28"/>
        </w:rPr>
        <w:t xml:space="preserve"> Федерального закона, подтверждено наличие источников финансового обеспечения (с возможностью ликвидации) путем проверки наличия средств    соответствующего публично-правового образования на обслуживание, содержание, эксплуатацию (с возможностью ликвидации) объектов сопутствующей инфраструктуры, подтверждена готовность балансодержателя принять на баланс созданный объект инфраструктуры (в применимых случаях);</w:t>
      </w:r>
    </w:p>
    <w:p>
      <w:pPr>
        <w:pStyle w:val="ConsPlusNormal"/>
        <w:ind w:left="0" w:right="0" w:firstLine="709"/>
        <w:jc w:val="both"/>
        <w:rPr/>
      </w:pPr>
      <w:r>
        <w:rPr>
          <w:sz w:val="28"/>
          <w:szCs w:val="28"/>
        </w:rPr>
        <w:t xml:space="preserve">в случае создания объекта инфраструктуры на основании </w:t>
      </w:r>
      <w:hyperlink r:id="rId25">
        <w:r>
          <w:rPr>
            <w:sz w:val="28"/>
            <w:szCs w:val="28"/>
          </w:rPr>
          <w:t>части 20 статьи 15</w:t>
        </w:r>
      </w:hyperlink>
      <w:r>
        <w:rPr>
          <w:sz w:val="28"/>
          <w:szCs w:val="28"/>
        </w:rPr>
        <w:t xml:space="preserve"> Федерального закона подтверждено включение такого объекта инфраструктуры в инвестиционную программу регулируемой организации, проведение проверки финансового обеспечения создания объекта инфраструктуры полностью за счет средств организации, реализующей проект;</w:t>
      </w:r>
    </w:p>
    <w:p>
      <w:pPr>
        <w:pStyle w:val="Normal"/>
        <w:spacing w:lineRule="auto" w:line="252" w:before="0" w:after="0"/>
        <w:ind w:left="0" w:right="0" w:firstLine="709"/>
        <w:jc w:val="both"/>
        <w:rPr/>
      </w:pPr>
      <w:r>
        <w:rPr>
          <w:rFonts w:ascii="Times New Roman" w:hAnsi="Times New Roman"/>
          <w:sz w:val="28"/>
          <w:szCs w:val="28"/>
        </w:rPr>
        <w:t>представлены положительные заключения о проведении государственной экспертизы проектной документации объекта инфраструктуры и проверке достоверности определения его сметной стоимости;</w:t>
      </w:r>
    </w:p>
    <w:p>
      <w:pPr>
        <w:pStyle w:val="Normal"/>
        <w:spacing w:lineRule="auto" w:line="252" w:before="0" w:after="0"/>
        <w:ind w:left="0" w:right="0" w:firstLine="709"/>
        <w:jc w:val="both"/>
        <w:rPr/>
      </w:pPr>
      <w:r>
        <w:rPr>
          <w:rFonts w:ascii="Times New Roman" w:hAnsi="Times New Roman"/>
          <w:sz w:val="28"/>
          <w:szCs w:val="28"/>
        </w:rPr>
        <w:t>представлено заключение о проведении технологического и ценового аудита, выданного экспертными организациями;</w:t>
      </w:r>
    </w:p>
    <w:p>
      <w:pPr>
        <w:pStyle w:val="Normal"/>
        <w:spacing w:lineRule="auto" w:line="252" w:before="0" w:after="0"/>
        <w:ind w:left="0" w:right="0" w:firstLine="709"/>
        <w:jc w:val="both"/>
        <w:rPr/>
      </w:pPr>
      <w:r>
        <w:rPr>
          <w:rFonts w:ascii="Times New Roman" w:hAnsi="Times New Roman"/>
          <w:sz w:val="28"/>
          <w:szCs w:val="28"/>
        </w:rPr>
        <w:t xml:space="preserve">представлено положительное заключение о проведении государственной экологической экспертизы проектной документации в случаях, предусмотренных </w:t>
      </w:r>
      <w:hyperlink r:id="rId26">
        <w:r>
          <w:rPr>
            <w:rFonts w:ascii="Times New Roman" w:hAnsi="Times New Roman"/>
            <w:sz w:val="28"/>
            <w:szCs w:val="28"/>
          </w:rPr>
          <w:t>частью 6 статьи 49</w:t>
        </w:r>
      </w:hyperlink>
      <w:r>
        <w:rPr>
          <w:rFonts w:ascii="Times New Roman" w:hAnsi="Times New Roman"/>
          <w:sz w:val="28"/>
          <w:szCs w:val="28"/>
        </w:rPr>
        <w:t xml:space="preserve"> Градостроительного кодекса Российской Федерации; </w:t>
      </w:r>
    </w:p>
    <w:p>
      <w:pPr>
        <w:pStyle w:val="Normal"/>
        <w:spacing w:lineRule="auto" w:line="252" w:before="0" w:after="0"/>
        <w:ind w:left="0" w:right="0" w:firstLine="709"/>
        <w:jc w:val="both"/>
        <w:rPr/>
      </w:pPr>
      <w:r>
        <w:rPr>
          <w:rFonts w:ascii="Times New Roman" w:hAnsi="Times New Roman"/>
          <w:sz w:val="28"/>
          <w:szCs w:val="28"/>
        </w:rPr>
        <w:t xml:space="preserve">представлено 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hyperlink r:id="rId27">
        <w:r>
          <w:rPr>
            <w:rFonts w:ascii="Times New Roman" w:hAnsi="Times New Roman"/>
            <w:sz w:val="28"/>
            <w:szCs w:val="28"/>
          </w:rPr>
          <w:t>частью 1 статьи 15</w:t>
        </w:r>
      </w:hyperlink>
      <w:r>
        <w:rPr>
          <w:rFonts w:ascii="Times New Roman" w:hAnsi="Times New Roman"/>
          <w:sz w:val="28"/>
          <w:szCs w:val="28"/>
        </w:rPr>
        <w:t xml:space="preserve"> Федерального закона,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hyperlink r:id="rId28">
        <w:r>
          <w:rPr>
            <w:rFonts w:ascii="Times New Roman" w:hAnsi="Times New Roman"/>
            <w:sz w:val="28"/>
            <w:szCs w:val="28"/>
          </w:rPr>
          <w:t>частью 1 статьи 15</w:t>
        </w:r>
      </w:hyperlink>
      <w:r>
        <w:rPr>
          <w:rFonts w:ascii="Times New Roman" w:hAnsi="Times New Roman"/>
          <w:sz w:val="28"/>
          <w:szCs w:val="28"/>
        </w:rPr>
        <w:t xml:space="preserve"> Федерального закона; </w:t>
      </w:r>
    </w:p>
    <w:p>
      <w:pPr>
        <w:pStyle w:val="ConsPlusNormal"/>
        <w:ind w:left="0" w:right="0" w:firstLine="709"/>
        <w:jc w:val="both"/>
        <w:rPr/>
      </w:pPr>
      <w:r>
        <w:rPr>
          <w:sz w:val="28"/>
          <w:szCs w:val="28"/>
        </w:rPr>
        <w:t xml:space="preserve">выполнены условия, предусмотренных </w:t>
      </w:r>
      <w:hyperlink r:id="rId29">
        <w:r>
          <w:rPr>
            <w:sz w:val="28"/>
            <w:szCs w:val="28"/>
          </w:rPr>
          <w:t>пунктом 8</w:t>
        </w:r>
        <w:r>
          <w:rPr>
            <w:sz w:val="28"/>
            <w:szCs w:val="28"/>
            <w:vertAlign w:val="superscript"/>
          </w:rPr>
          <w:t>3</w:t>
        </w:r>
        <w:r>
          <w:rPr>
            <w:sz w:val="28"/>
            <w:szCs w:val="28"/>
          </w:rPr>
          <w:t xml:space="preserve"> статьи 78</w:t>
        </w:r>
      </w:hyperlink>
      <w:r>
        <w:rPr>
          <w:sz w:val="28"/>
          <w:szCs w:val="28"/>
        </w:rPr>
        <w:t xml:space="preserve"> Бюджетного кодекса Российской Федерации.</w:t>
      </w:r>
    </w:p>
    <w:p>
      <w:pPr>
        <w:pStyle w:val="ConsPlusNormal"/>
        <w:ind w:left="0" w:right="0" w:firstLine="709"/>
        <w:jc w:val="both"/>
        <w:rPr/>
      </w:pPr>
      <w:bookmarkStart w:id="6" w:name="Par147"/>
      <w:bookmarkEnd w:id="6"/>
      <w:r>
        <w:rPr>
          <w:sz w:val="28"/>
          <w:szCs w:val="28"/>
        </w:rPr>
        <w:t xml:space="preserve">27. В целях принятия решения о возможности предоставления субсидии организация, реализующая проект, не позднее трех лет со дня, когда все имущественные права, возникшие в рамках реализации проекта и подлежащие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 (построены) либо реконструированы и (или) модернизированы, если проектом предполагается создание объектов недвижимого имущества, и введены в эксплуатацию в соответствии с законодательством Российской Федерации или после завершения отдельных этапов реализации проекта, предусмотренных соглашением о защите и поощрении капиталовложений, при соблюдении условий, предусмотренных </w:t>
      </w:r>
      <w:hyperlink r:id="rId30">
        <w:r>
          <w:rPr>
            <w:sz w:val="28"/>
            <w:szCs w:val="28"/>
          </w:rPr>
          <w:t>частями 9</w:t>
        </w:r>
      </w:hyperlink>
      <w:r>
        <w:rPr>
          <w:sz w:val="28"/>
          <w:szCs w:val="28"/>
        </w:rPr>
        <w:t xml:space="preserve"> - </w:t>
      </w:r>
      <w:hyperlink r:id="rId31">
        <w:r>
          <w:rPr>
            <w:sz w:val="28"/>
            <w:szCs w:val="28"/>
          </w:rPr>
          <w:t>11 статьи 15</w:t>
        </w:r>
      </w:hyperlink>
      <w:r>
        <w:rPr>
          <w:sz w:val="28"/>
          <w:szCs w:val="28"/>
        </w:rPr>
        <w:t xml:space="preserve"> Федерального закона, до 1 апреля года, предшествующего году предоставления субсидии, представляет в Уполномоченный орган (в зависимости от вида объекта проекта) следующие документы:</w:t>
      </w:r>
    </w:p>
    <w:p>
      <w:pPr>
        <w:pStyle w:val="ConsPlusNormal"/>
        <w:ind w:left="0" w:right="0" w:firstLine="709"/>
        <w:jc w:val="both"/>
        <w:rPr/>
      </w:pPr>
      <w:r>
        <w:rPr>
          <w:sz w:val="28"/>
          <w:szCs w:val="28"/>
        </w:rPr>
        <w:t>а) в случае предоставления субсидии на возмещение затрат по созданию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pPr>
        <w:pStyle w:val="ConsPlusNormal"/>
        <w:ind w:left="0" w:right="0" w:firstLine="709"/>
        <w:jc w:val="both"/>
        <w:rPr/>
      </w:pPr>
      <w:r>
        <w:rPr>
          <w:sz w:val="28"/>
          <w:szCs w:val="28"/>
        </w:rPr>
        <w:t>заявление о соответствии создаваемых (созданных) объектов инфраструктуры потребностям проекта (в свободной форме) с указанием объектов инфраструктуры, затраты на которые планируется возместить, с отнесением их к обеспечивающей или сопутствующей инфраструктуре, указанием конечного балансодержателя объекта инфраструктуры,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pPr>
        <w:pStyle w:val="ConsPlusNormal"/>
        <w:ind w:left="0" w:right="0" w:firstLine="709"/>
        <w:jc w:val="both"/>
        <w:rPr/>
      </w:pPr>
      <w:r>
        <w:rPr>
          <w:sz w:val="28"/>
          <w:szCs w:val="28"/>
        </w:rPr>
        <w:t>паспорт объекта инфраструктуры с указанием предполагаемого места расположения, наименования объекта инфраструктуры, площади строящегося (реконструируемого) объекта инфраструктуры, ориентировочной стоимости объекта инфраструктуры, его мощности, календарного плана работ, включающего ключевые события, с указанием сроков ввода в действие основных мощностей (по усмотрению организации, реализующей проект, могут быть указаны иные параметры (показатели) создаваемого объекта инфраструктуры). Форму паспорта объекта инфраструктуры утверждает Министерство экономического развития Российской Федерации;</w:t>
      </w:r>
    </w:p>
    <w:p>
      <w:pPr>
        <w:pStyle w:val="ConsPlusNormal"/>
        <w:ind w:left="0" w:right="0" w:firstLine="709"/>
        <w:jc w:val="both"/>
        <w:rPr/>
      </w:pPr>
      <w:r>
        <w:rPr>
          <w:color w:val="000000"/>
          <w:sz w:val="28"/>
          <w:szCs w:val="28"/>
        </w:rPr>
        <w:t xml:space="preserve">расчет объема возмещения затрат согласно приложению к форме расчета объема возмещения затрат, указанных в части 1 статьи 15 Федерального закона, понесенных организацией, реализующей проект, </w:t>
      </w:r>
      <w:r>
        <w:rPr>
          <w:b w:val="false"/>
          <w:color w:val="000000"/>
          <w:sz w:val="28"/>
          <w:szCs w:val="28"/>
        </w:rPr>
        <w:t xml:space="preserve">в рамках осуществления инвестиционного проекта, в отношении которого заключено соглашение о защите и поощрении капиталовложений в соответствии с приложением № 2 к Правилам возмещения затрат, утвержденным постановлением Правительства Российской Федерации от 03.10.2020 № 1599; </w:t>
      </w:r>
    </w:p>
    <w:p>
      <w:pPr>
        <w:pStyle w:val="ConsPlusNormal"/>
        <w:spacing w:lineRule="auto" w:line="240"/>
        <w:ind w:left="0" w:right="0" w:firstLine="737"/>
        <w:jc w:val="both"/>
        <w:rPr/>
      </w:pPr>
      <w:r>
        <w:rPr>
          <w:color w:val="000000"/>
          <w:sz w:val="28"/>
          <w:szCs w:val="28"/>
        </w:rPr>
        <w:t xml:space="preserve">сведения о </w:t>
      </w:r>
      <w:r>
        <w:rPr>
          <w:sz w:val="28"/>
          <w:szCs w:val="28"/>
        </w:rPr>
        <w:t xml:space="preserve">сметной стоимости объектов инфраструктуры, в том числе по каждому объекту инфраструктуры, отношения по созданию которых регулируются законодательством о градостроительной деятельности, </w:t>
      </w:r>
      <w:r>
        <w:rPr>
          <w:color w:val="000000"/>
          <w:sz w:val="28"/>
          <w:szCs w:val="28"/>
        </w:rPr>
        <w:t xml:space="preserve">положительные заключения о проведении государственной экспертизы проектной документации объектов инфраструктуры и проверки достоверности определения их сметной стоимости, в том числе по каждому объекту инфраструктуры (в случае создания объекта инфраструктуры в соответствии с </w:t>
      </w:r>
      <w:hyperlink r:id="rId32">
        <w:r>
          <w:rPr>
            <w:color w:val="000000"/>
            <w:sz w:val="28"/>
            <w:szCs w:val="28"/>
          </w:rPr>
          <w:t>частью 20 статьи 15</w:t>
        </w:r>
      </w:hyperlink>
      <w:r>
        <w:rPr>
          <w:color w:val="000000"/>
          <w:sz w:val="28"/>
          <w:szCs w:val="28"/>
        </w:rPr>
        <w:t xml:space="preserve"> Федерального закона представление документов не требуется);</w:t>
      </w:r>
    </w:p>
    <w:p>
      <w:pPr>
        <w:pStyle w:val="ConsPlusNormal"/>
        <w:ind w:left="0" w:right="0" w:firstLine="709"/>
        <w:jc w:val="both"/>
        <w:rPr/>
      </w:pPr>
      <w:r>
        <w:rPr>
          <w:color w:val="000000"/>
          <w:sz w:val="28"/>
          <w:szCs w:val="28"/>
        </w:rPr>
        <w:t xml:space="preserve">положительные заключения о проведении государственной экологической экспертизы проектной документации в случаях, предусмотренных </w:t>
      </w:r>
      <w:hyperlink r:id="rId33">
        <w:r>
          <w:rPr>
            <w:color w:val="000000"/>
            <w:sz w:val="28"/>
            <w:szCs w:val="28"/>
          </w:rPr>
          <w:t>частью 6 статьи 49</w:t>
        </w:r>
      </w:hyperlink>
      <w:r>
        <w:rPr>
          <w:color w:val="000000"/>
          <w:sz w:val="28"/>
          <w:szCs w:val="28"/>
        </w:rPr>
        <w:t xml:space="preserve"> Градостроительного кодекса Российской Федерации;</w:t>
      </w:r>
    </w:p>
    <w:p>
      <w:pPr>
        <w:pStyle w:val="ConsPlusNormal"/>
        <w:ind w:left="0" w:right="0" w:firstLine="709"/>
        <w:jc w:val="both"/>
        <w:rPr/>
      </w:pPr>
      <w:r>
        <w:rPr>
          <w:color w:val="000000"/>
          <w:sz w:val="28"/>
          <w:szCs w:val="28"/>
        </w:rPr>
        <w:t xml:space="preserve">заключение о проведении технологического и ценового </w:t>
      </w:r>
      <w:r>
        <w:rPr>
          <w:sz w:val="28"/>
          <w:szCs w:val="28"/>
        </w:rPr>
        <w:t xml:space="preserve">аудита, выданное экспертной организацией, с приложением документов, подтверждающих соответствие экспертной организации требованиям, установленным в </w:t>
      </w:r>
      <w:hyperlink r:id="rId34">
        <w:r>
          <w:rPr>
            <w:sz w:val="28"/>
            <w:szCs w:val="28"/>
          </w:rPr>
          <w:t>приложении № 1</w:t>
        </w:r>
      </w:hyperlink>
      <w:r>
        <w:rPr>
          <w:sz w:val="28"/>
          <w:szCs w:val="28"/>
        </w:rPr>
        <w:t xml:space="preserve"> к Правилам возмещения затрат, утвержденным постановлением Правительства Российской Федерации от 03.10.2020 № 1599;</w:t>
      </w:r>
    </w:p>
    <w:p>
      <w:pPr>
        <w:pStyle w:val="ConsPlusNormal"/>
        <w:ind w:left="0" w:right="0" w:firstLine="709"/>
        <w:jc w:val="both"/>
        <w:rPr/>
      </w:pPr>
      <w:r>
        <w:rPr>
          <w:sz w:val="28"/>
          <w:szCs w:val="28"/>
        </w:rPr>
        <w:t>договоры о технологическом присоединении к сетям электро-, и (или) газо-, и (или) тепло-, и (или) водоснабжения и (или) водоотведения, транспортным сетям с указанием стоимости и сроков выполнения работ (при наличии);</w:t>
      </w:r>
    </w:p>
    <w:p>
      <w:pPr>
        <w:pStyle w:val="ConsPlusNormal"/>
        <w:ind w:left="0" w:right="0" w:firstLine="709"/>
        <w:jc w:val="both"/>
        <w:rPr/>
      </w:pPr>
      <w:r>
        <w:rPr>
          <w:sz w:val="28"/>
          <w:szCs w:val="28"/>
        </w:rPr>
        <w:t xml:space="preserve">сведения о прогнозируемом объеме </w:t>
      </w:r>
      <w:r>
        <w:rPr>
          <w:b w:val="false"/>
          <w:sz w:val="28"/>
          <w:szCs w:val="28"/>
        </w:rPr>
        <w:t>обязательных платежей, исчисленных организацией, реализующей проект, для уплаты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w:t>
      </w:r>
      <w:r>
        <w:rPr>
          <w:sz w:val="28"/>
          <w:szCs w:val="28"/>
        </w:rPr>
        <w:t xml:space="preserve"> (с разбивкой по видам налогов и обязательных платежей, по годам и по бюджетам бюджетной системы Российской Федерации на планируемый срок получения субсидии);</w:t>
      </w:r>
    </w:p>
    <w:p>
      <w:pPr>
        <w:pStyle w:val="ConsPlusNormal"/>
        <w:ind w:left="0" w:right="0" w:firstLine="709"/>
        <w:jc w:val="both"/>
        <w:rPr/>
      </w:pPr>
      <w:r>
        <w:rPr>
          <w:sz w:val="28"/>
          <w:szCs w:val="28"/>
        </w:rPr>
        <w:t>сведения об объеме ранее возмещенных затрат, в том числе по каждому объекту инфраструктуры,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w:t>
      </w:r>
    </w:p>
    <w:p>
      <w:pPr>
        <w:pStyle w:val="ConsPlusNormal"/>
        <w:ind w:left="0" w:right="0" w:firstLine="709"/>
        <w:jc w:val="both"/>
        <w:rPr/>
      </w:pPr>
      <w:r>
        <w:rPr>
          <w:sz w:val="28"/>
          <w:szCs w:val="28"/>
        </w:rPr>
        <w:t>перечень произведенных затрат (в том числе на технологическое присоединение к сетям инженерно-технического обеспечения) по каждому объекту инфраструктуры;</w:t>
      </w:r>
    </w:p>
    <w:p>
      <w:pPr>
        <w:pStyle w:val="ConsPlusNormal"/>
        <w:ind w:left="0" w:right="0" w:firstLine="709"/>
        <w:jc w:val="both"/>
        <w:rPr/>
      </w:pPr>
      <w:r>
        <w:rPr>
          <w:sz w:val="28"/>
          <w:szCs w:val="28"/>
        </w:rPr>
        <w:t>копии актов приема-передачи, иных документов, подтверждающих передачу объектов сопутствующей инфраструктуры проекта на баланс балансодержателей, или копии документов, подтверждающих согласие регулируемой организации или публично-правового образования на принятие на баланс объекта сопутствующей инфраструктуры (в применимых случаях) (в случае непредставления такого согласия Уполномоченный орган запрашивает его самостоятельно);</w:t>
      </w:r>
    </w:p>
    <w:p>
      <w:pPr>
        <w:pStyle w:val="ConsPlusNormal"/>
        <w:ind w:left="0" w:right="0" w:firstLine="709"/>
        <w:jc w:val="both"/>
        <w:rPr/>
      </w:pPr>
      <w:r>
        <w:rPr>
          <w:sz w:val="28"/>
          <w:szCs w:val="28"/>
        </w:rPr>
        <w:t xml:space="preserve">в случае создания объекта инфраструктуры в соответствии с </w:t>
      </w:r>
      <w:hyperlink r:id="rId35">
        <w:r>
          <w:rPr>
            <w:sz w:val="28"/>
            <w:szCs w:val="28"/>
          </w:rPr>
          <w:t>частью 20 статьи 15</w:t>
        </w:r>
      </w:hyperlink>
      <w:r>
        <w:rPr>
          <w:sz w:val="28"/>
          <w:szCs w:val="28"/>
        </w:rPr>
        <w:t xml:space="preserve"> Федерального закона - копии документов, подтверждающих нахождение на балансе регулируемой организации созданного объекта инфраструктуры, копии актов о выполненных работах по договорам о технологическом присоединении к сетям электро-, и (или) газо-, и (или) тепло-, и (или) водоснабжения и (или) водоотведения,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w:t>
      </w:r>
    </w:p>
    <w:p>
      <w:pPr>
        <w:pStyle w:val="ConsPlusNormal"/>
        <w:ind w:left="0" w:right="0" w:firstLine="709"/>
        <w:jc w:val="both"/>
        <w:rPr/>
      </w:pPr>
      <w:r>
        <w:rPr>
          <w:sz w:val="28"/>
          <w:szCs w:val="28"/>
        </w:rPr>
        <w:t>копия документа федерального органа исполнительной власти в области регулирования тарифов или исполнительных органов Республики Татарстан в области государственного регулирования тарифов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pPr>
        <w:pStyle w:val="ConsPlusNormal"/>
        <w:ind w:left="0" w:right="0" w:firstLine="709"/>
        <w:jc w:val="both"/>
        <w:rPr/>
      </w:pPr>
      <w:r>
        <w:rPr>
          <w:sz w:val="28"/>
          <w:szCs w:val="28"/>
        </w:rPr>
        <w:t xml:space="preserve">копии документов, подтверждающих завершение строительства (реконструкции) объекта капитального строительства проекта (линейного объекта), - акты приемки законченного строительством объекта, копия разрешения на ввод в эксплуатацию, выданного Уполномоченным органом, копии приказов о вводе в эксплуатацию (по объектам, отношения по созданию которых регулируются законодательством о градостроительной деятельности) (в случае создания объекта инфраструктуры в соответствии с </w:t>
      </w:r>
      <w:hyperlink r:id="rId36">
        <w:r>
          <w:rPr>
            <w:sz w:val="28"/>
            <w:szCs w:val="28"/>
          </w:rPr>
          <w:t>частью 20 статьи 15</w:t>
        </w:r>
      </w:hyperlink>
      <w:r>
        <w:rPr>
          <w:sz w:val="28"/>
          <w:szCs w:val="28"/>
        </w:rPr>
        <w:t xml:space="preserve"> Федерального закона представление документов не требуется);</w:t>
      </w:r>
    </w:p>
    <w:p>
      <w:pPr>
        <w:pStyle w:val="ConsPlusNormal"/>
        <w:ind w:left="0" w:right="0" w:firstLine="709"/>
        <w:jc w:val="both"/>
        <w:rPr/>
      </w:pPr>
      <w:r>
        <w:rPr>
          <w:sz w:val="28"/>
          <w:szCs w:val="28"/>
        </w:rPr>
        <w:t xml:space="preserve">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контроля (надзора) (в случаях, предусмотренных </w:t>
      </w:r>
      <w:hyperlink r:id="rId37">
        <w:r>
          <w:rPr>
            <w:sz w:val="28"/>
            <w:szCs w:val="28"/>
          </w:rPr>
          <w:t>частью 5 статьи 54</w:t>
        </w:r>
      </w:hyperlink>
      <w:r>
        <w:rPr>
          <w:sz w:val="28"/>
          <w:szCs w:val="28"/>
        </w:rPr>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отношения по созданию которых регулируются законодательством о градостроительной деятельности) (в случае создания объекта инфраструктуры в соответствии с </w:t>
      </w:r>
      <w:hyperlink r:id="rId38">
        <w:r>
          <w:rPr>
            <w:sz w:val="28"/>
            <w:szCs w:val="28"/>
          </w:rPr>
          <w:t>частью 20 статьи 15</w:t>
        </w:r>
      </w:hyperlink>
      <w:r>
        <w:rPr>
          <w:sz w:val="28"/>
          <w:szCs w:val="28"/>
        </w:rPr>
        <w:t xml:space="preserve"> Федерального закона представление документов не требуется);</w:t>
      </w:r>
    </w:p>
    <w:p>
      <w:pPr>
        <w:pStyle w:val="ConsPlusNormal"/>
        <w:ind w:left="0" w:right="0" w:firstLine="709"/>
        <w:jc w:val="both"/>
        <w:rPr/>
      </w:pPr>
      <w:r>
        <w:rPr>
          <w:sz w:val="28"/>
          <w:szCs w:val="28"/>
        </w:rPr>
        <w:t>выписка из Единого государственного реестра недвижимости, копии документов, подтверждающих государственную регистрацию результатов интеллектуальной деятельности и (или) приравненных к ним средств индивидуализации (если применимо);</w:t>
      </w:r>
    </w:p>
    <w:p>
      <w:pPr>
        <w:pStyle w:val="ConsPlusNormal"/>
        <w:ind w:left="0" w:right="0" w:firstLine="709"/>
        <w:jc w:val="both"/>
        <w:rPr/>
      </w:pPr>
      <w:r>
        <w:rPr>
          <w:sz w:val="28"/>
          <w:szCs w:val="28"/>
        </w:rPr>
        <w:t>копии документов, подтверждающих завершение создания объекта инфраструктуры, копии приказов о вводе в эксплуатацию объекта инфраструктуры, копии договоров о закупке товаров, работ и услуг, копии договоров подряда, первичные учетные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создание объекта инфраструктуры в части работ, произведенных собственными силами,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другие) (по объектам, за исключением тех, отношения по созданию которых регулируются законодательством о градостроительной деятельности);</w:t>
      </w:r>
    </w:p>
    <w:p>
      <w:pPr>
        <w:pStyle w:val="ConsPlusNormal"/>
        <w:ind w:left="0" w:right="0" w:firstLine="709"/>
        <w:jc w:val="both"/>
        <w:rPr/>
      </w:pPr>
      <w:r>
        <w:rPr>
          <w:sz w:val="28"/>
          <w:szCs w:val="28"/>
        </w:rPr>
        <w:t>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9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9 настоящего Порядка;</w:t>
      </w:r>
    </w:p>
    <w:p>
      <w:pPr>
        <w:pStyle w:val="ConsPlusNormal"/>
        <w:ind w:left="0" w:right="0" w:firstLine="709"/>
        <w:jc w:val="both"/>
        <w:rPr/>
      </w:pPr>
      <w:r>
        <w:rPr>
          <w:sz w:val="28"/>
          <w:szCs w:val="28"/>
        </w:rPr>
        <w:t>гарантийное письмо о соответствии организации, реализующей проект, требованиям, установленным пунктом 25 настоящего Порядка.</w:t>
      </w:r>
    </w:p>
    <w:p>
      <w:pPr>
        <w:pStyle w:val="ConsPlusNormal"/>
        <w:ind w:left="0" w:right="0" w:firstLine="709"/>
        <w:jc w:val="both"/>
        <w:rPr/>
      </w:pPr>
      <w:r>
        <w:rPr>
          <w:sz w:val="28"/>
          <w:szCs w:val="28"/>
        </w:rPr>
        <w:t>б) в случае предоставления субсидии на возмещение затрат по уплате процентов по кредитам и займам, купонного дохода по облигационным займам, привлеченным для создания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в государственной (муниципальной) собственности, а также на уплату процентов по кредитам и займам, купонного дохода по облигационным займам, привлеченным для реализации проекта в части создания (строительства) новых либо реконструкции и (или) модернизации существующих объектов проекта,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pPr>
        <w:pStyle w:val="ConsPlusNormal"/>
        <w:ind w:left="0" w:right="0" w:firstLine="709"/>
        <w:jc w:val="both"/>
        <w:rPr/>
      </w:pPr>
      <w:r>
        <w:rPr>
          <w:sz w:val="28"/>
          <w:szCs w:val="28"/>
        </w:rPr>
        <w:t>заявление с указанием объектов проекта и (или) объектов инфраструктуры, по которым планируется возместить затраты, указанные в абзацах третьем и четвертом пункта 9 настоящего Порядка,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pPr>
        <w:pStyle w:val="ConsPlusNormal"/>
        <w:ind w:left="0" w:right="0" w:firstLine="709"/>
        <w:jc w:val="both"/>
        <w:rPr/>
      </w:pPr>
      <w:r>
        <w:rPr>
          <w:color w:val="000000"/>
          <w:sz w:val="28"/>
          <w:szCs w:val="28"/>
        </w:rPr>
        <w:t xml:space="preserve">расчет объема возмещения затрат согласно приложению к форме расчета объема возмещения затрат, указанных в части 1 статьи 15 Федерального закона, понесенных организацией, реализующей проект, </w:t>
      </w:r>
      <w:r>
        <w:rPr>
          <w:b w:val="false"/>
          <w:color w:val="000000"/>
          <w:sz w:val="28"/>
          <w:szCs w:val="28"/>
        </w:rPr>
        <w:t xml:space="preserve">в рамках осуществления инвестиционного проекта, в отношении которого заключено соглашение о защите и поощрении капиталовложений в соответствии с приложением № 2 к Правилам возмещения затрат, утвержденным постановлением Правительства Российской Федерации от 03.10.2020 № 1599; </w:t>
      </w:r>
    </w:p>
    <w:p>
      <w:pPr>
        <w:pStyle w:val="ConsPlusNormal"/>
        <w:ind w:left="0" w:right="0" w:firstLine="709"/>
        <w:jc w:val="both"/>
        <w:rPr/>
      </w:pPr>
      <w:r>
        <w:rPr>
          <w:sz w:val="28"/>
          <w:szCs w:val="28"/>
        </w:rPr>
        <w:t>кредитный договор (договор займа) с графиком погашения кредита (займа) и уплаты процентов по нему;</w:t>
      </w:r>
    </w:p>
    <w:p>
      <w:pPr>
        <w:pStyle w:val="ConsPlusNormal"/>
        <w:ind w:left="0" w:right="0" w:firstLine="709"/>
        <w:jc w:val="both"/>
        <w:rPr/>
      </w:pPr>
      <w:r>
        <w:rPr>
          <w:sz w:val="28"/>
          <w:szCs w:val="28"/>
        </w:rPr>
        <w:t>сведения о сметной стоимости объектов проекта и (или) объектов инфраструктуры, в том числе по каждому объекту проекта и (или) объекту инфраструктуры, отношения по созданию которых регулируются законодательством о градостроительной деятельности, положительные заключения о проведении государственной экспертизы проектной документации объектов проекта и (или) объектов инфраструктуры и проверки достоверности определения их сметной стоимости, в том числе по каждому объекту проекта и (или) объекту инфраструктуры;</w:t>
      </w:r>
    </w:p>
    <w:p>
      <w:pPr>
        <w:pStyle w:val="ConsPlusNormal"/>
        <w:ind w:left="0" w:right="0" w:firstLine="709"/>
        <w:jc w:val="both"/>
        <w:rPr/>
      </w:pPr>
      <w:r>
        <w:rPr>
          <w:sz w:val="28"/>
          <w:szCs w:val="28"/>
        </w:rPr>
        <w:t xml:space="preserve">положительные заключения о проведении государственной экологической экспертизы проектной документации в случаях, предусмотренных </w:t>
      </w:r>
      <w:hyperlink r:id="rId39">
        <w:r>
          <w:rPr>
            <w:sz w:val="28"/>
            <w:szCs w:val="28"/>
          </w:rPr>
          <w:t>частью 6 статьи 49</w:t>
        </w:r>
      </w:hyperlink>
      <w:r>
        <w:rPr>
          <w:sz w:val="28"/>
          <w:szCs w:val="28"/>
        </w:rPr>
        <w:t xml:space="preserve"> Градостроительного кодекса Российской Федерации;</w:t>
      </w:r>
    </w:p>
    <w:p>
      <w:pPr>
        <w:pStyle w:val="ConsPlusNormal"/>
        <w:ind w:left="0" w:right="0" w:firstLine="709"/>
        <w:jc w:val="both"/>
        <w:rPr/>
      </w:pPr>
      <w:r>
        <w:rPr>
          <w:sz w:val="28"/>
          <w:szCs w:val="28"/>
        </w:rPr>
        <w:t xml:space="preserve">заключение о проведении технологического и ценового аудита, выданное экспертной организацией с приложением документов, подтверждающих соответствие экспертной организации требованиям, установленным в </w:t>
      </w:r>
      <w:hyperlink r:id="rId40">
        <w:r>
          <w:rPr>
            <w:sz w:val="28"/>
            <w:szCs w:val="28"/>
          </w:rPr>
          <w:t>приложении № 1</w:t>
        </w:r>
      </w:hyperlink>
      <w:r>
        <w:rPr>
          <w:sz w:val="28"/>
          <w:szCs w:val="28"/>
        </w:rPr>
        <w:t xml:space="preserve"> к Правилам возмещения затрат, утвержденным постановлением Правительства Российской Федерации от 03.10.2020 № 1599;</w:t>
      </w:r>
    </w:p>
    <w:p>
      <w:pPr>
        <w:pStyle w:val="ConsPlusNormal"/>
        <w:ind w:left="0" w:right="0" w:firstLine="709"/>
        <w:jc w:val="both"/>
        <w:rPr/>
      </w:pPr>
      <w:r>
        <w:rPr>
          <w:sz w:val="28"/>
          <w:szCs w:val="28"/>
        </w:rPr>
        <w:t xml:space="preserve">сведения о прогнозируемом объеме </w:t>
      </w:r>
      <w:r>
        <w:rPr>
          <w:b w:val="false"/>
          <w:sz w:val="28"/>
          <w:szCs w:val="28"/>
        </w:rPr>
        <w:t>обязательных платежей, исчисленных организацией, реализующей проект, для уплаты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w:t>
      </w:r>
      <w:r>
        <w:rPr>
          <w:sz w:val="28"/>
          <w:szCs w:val="28"/>
        </w:rPr>
        <w:t xml:space="preserve"> (с разбивкой по видам налогов и обязательных платежей, по годам и по бюджетам бюджетной системы Российской Федерации на планируемый срок получения субсидии);</w:t>
      </w:r>
    </w:p>
    <w:p>
      <w:pPr>
        <w:pStyle w:val="ConsPlusNormal"/>
        <w:ind w:left="0" w:right="0" w:firstLine="709"/>
        <w:jc w:val="both"/>
        <w:rPr/>
      </w:pPr>
      <w:r>
        <w:rPr>
          <w:sz w:val="28"/>
          <w:szCs w:val="28"/>
        </w:rPr>
        <w:t>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pPr>
        <w:pStyle w:val="ConsPlusNormal"/>
        <w:ind w:left="0" w:right="0" w:firstLine="709"/>
        <w:jc w:val="both"/>
        <w:rPr/>
      </w:pPr>
      <w:r>
        <w:rPr>
          <w:sz w:val="28"/>
          <w:szCs w:val="28"/>
        </w:rPr>
        <w:t>копии свидетельств, патентов, иных документов, в том числе из реестров Федеральной службы по интеллектуальной собственности, подтверждающие регистрацию имущественных прав на созданные объекты проекта,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и объекты инфраструктуры;</w:t>
      </w:r>
    </w:p>
    <w:p>
      <w:pPr>
        <w:pStyle w:val="ConsPlusNormal"/>
        <w:ind w:left="0" w:right="0" w:firstLine="709"/>
        <w:jc w:val="both"/>
        <w:rPr/>
      </w:pPr>
      <w:r>
        <w:rPr>
          <w:sz w:val="28"/>
          <w:szCs w:val="28"/>
        </w:rPr>
        <w:t>перечень произведенных затрат, в том числе по каждому объекту проекта и (или) объекту инфраструктуры (если применимо);</w:t>
      </w:r>
    </w:p>
    <w:p>
      <w:pPr>
        <w:pStyle w:val="ConsPlusNormal"/>
        <w:ind w:left="0" w:right="0" w:firstLine="709"/>
        <w:jc w:val="both"/>
        <w:rPr/>
      </w:pPr>
      <w:r>
        <w:rPr>
          <w:sz w:val="28"/>
          <w:szCs w:val="28"/>
        </w:rPr>
        <w:t>документы, подтверждающие своевременное исполнение организацией, реализующей проект, графика платежей по кредитному договору (договору займа), справка об отсутствии просроченных платежей по целевому кредиту (займу) и остатке ссудной задолженности, выданная кредитной организацией не ранее чем за один месяц до дня подачи заявления о предоставлении субсидии (оригинал);</w:t>
      </w:r>
    </w:p>
    <w:p>
      <w:pPr>
        <w:pStyle w:val="ConsPlusNormal"/>
        <w:ind w:left="0" w:right="0" w:firstLine="709"/>
        <w:jc w:val="both"/>
        <w:rPr/>
      </w:pPr>
      <w:r>
        <w:rPr>
          <w:sz w:val="28"/>
          <w:szCs w:val="28"/>
        </w:rPr>
        <w:t>документы, подтверждающие своевременное исполнение организацией, реализующей проект, условий облигационных займов, по которым осуществляется выплата купонного дохода;</w:t>
      </w:r>
    </w:p>
    <w:p>
      <w:pPr>
        <w:pStyle w:val="ConsPlusNormal"/>
        <w:ind w:left="0" w:right="0" w:firstLine="709"/>
        <w:jc w:val="both"/>
        <w:rPr/>
      </w:pPr>
      <w:r>
        <w:rPr>
          <w:sz w:val="28"/>
          <w:szCs w:val="28"/>
        </w:rPr>
        <w:t>документы, подтверждающие осуществление организацией, реализующей проект, за счет средств кредита (займа) и облигационного займа расходов, направленных на создание объектов инфраструктуры и (или) создание (строительство) новых либо реконструкцию и (или) модернизацию существующих объектов проекта (копии платежных поручений);</w:t>
      </w:r>
    </w:p>
    <w:p>
      <w:pPr>
        <w:pStyle w:val="ConsPlusNormal"/>
        <w:ind w:left="0" w:right="0" w:firstLine="709"/>
        <w:jc w:val="both"/>
        <w:rPr/>
      </w:pPr>
      <w:r>
        <w:rPr>
          <w:sz w:val="28"/>
          <w:szCs w:val="28"/>
        </w:rPr>
        <w:t>заверенная руководителем организации, реализующей проект, выписка по расчетному счету организации, реализующей проект, подтверждающая получение средств от размещения облигаций, копии платежных документов с отметкой кредитной организации о проведении платежа, подтверждающих предоставление средств на выплату купонного дохода платежному агенту - уполномоченному депозитарию, а также заверенные аудитором или представителем владельцев облигаций и руководителем организации, реализующей проект, копии отчетов платежного агента - уполномоченного депозитария о выплате купонного дохода (если применимо);</w:t>
      </w:r>
    </w:p>
    <w:p>
      <w:pPr>
        <w:pStyle w:val="ConsPlusNormal"/>
        <w:ind w:left="0" w:right="0" w:firstLine="709"/>
        <w:jc w:val="both"/>
        <w:rPr/>
      </w:pPr>
      <w:r>
        <w:rPr>
          <w:sz w:val="28"/>
          <w:szCs w:val="28"/>
        </w:rPr>
        <w:t>справка, подписанная руководителем и главным бухгалтером (при наличии) организации, реализующей проект, скрепленная печатью организации (при наличии), подтверждающая использование средств, полученных от размещения облигаций, на реализацию проекта, заверенная аудитором или представителем владельцев облигаций (если применимо);</w:t>
      </w:r>
    </w:p>
    <w:p>
      <w:pPr>
        <w:pStyle w:val="ConsPlusNormal"/>
        <w:ind w:left="0" w:right="0" w:firstLine="709"/>
        <w:jc w:val="both"/>
        <w:rPr/>
      </w:pPr>
      <w:r>
        <w:rPr>
          <w:sz w:val="28"/>
          <w:szCs w:val="28"/>
        </w:rPr>
        <w:t>копия решения о выпуске (дополнительном выпуске) облигаций с отметкой о государственной регистрации решения, копия зарегистрированного уполномоченным органом, осуществляющим государственную регистрацию выпусков ценных бумаг, отчета об итогах выпуска облигаций с отметкой о государственной регистрации отчета (в случае размещения биржевых облигаций);</w:t>
      </w:r>
    </w:p>
    <w:p>
      <w:pPr>
        <w:pStyle w:val="ConsPlusNormal"/>
        <w:ind w:left="0" w:right="0" w:firstLine="709"/>
        <w:jc w:val="both"/>
        <w:rPr/>
      </w:pPr>
      <w:r>
        <w:rPr>
          <w:sz w:val="28"/>
          <w:szCs w:val="28"/>
        </w:rPr>
        <w:t>копия решения о выпуске (дополнительном выпуске) биржевых облигаций с отметкой о допуске биржевых облигаций к торгам на фондовой бирже в процессе размещения, в случае размещения коммерческих облигаций копия решения о выпуске (дополнительном выпуске) коммерческих облигаций с отметкой о присвоении идентификационного номера, заверенные подписью руководителя организации и печатью организации (при наличии);</w:t>
      </w:r>
    </w:p>
    <w:p>
      <w:pPr>
        <w:pStyle w:val="ConsPlusNormal"/>
        <w:ind w:left="0" w:right="0" w:firstLine="709"/>
        <w:jc w:val="both"/>
        <w:rPr/>
      </w:pPr>
      <w:r>
        <w:rPr>
          <w:sz w:val="28"/>
          <w:szCs w:val="28"/>
        </w:rPr>
        <w:t>выписка из Единого государственного реестра недвижимости, копии документов, подтверждающих государственную регистрацию результатов интеллектуальной деятельности и (или) приравненных к ним средств индивидуализации (если применимо);</w:t>
      </w:r>
    </w:p>
    <w:p>
      <w:pPr>
        <w:pStyle w:val="ConsPlusNormal"/>
        <w:ind w:left="0" w:right="0" w:firstLine="709"/>
        <w:jc w:val="both"/>
        <w:rPr/>
      </w:pPr>
      <w:r>
        <w:rPr>
          <w:sz w:val="28"/>
          <w:szCs w:val="28"/>
        </w:rPr>
        <w:t>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9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9 настоящего Порядка;</w:t>
      </w:r>
    </w:p>
    <w:p>
      <w:pPr>
        <w:pStyle w:val="ConsPlusNormal"/>
        <w:ind w:left="0" w:right="0" w:firstLine="709"/>
        <w:jc w:val="both"/>
        <w:rPr/>
      </w:pPr>
      <w:r>
        <w:rPr>
          <w:sz w:val="28"/>
          <w:szCs w:val="28"/>
        </w:rPr>
        <w:t>гарантийное письмо о соответствии организации, реализующей проект, требованиям, установленным пунктом 25 настоящего Порядка.</w:t>
      </w:r>
    </w:p>
    <w:p>
      <w:pPr>
        <w:pStyle w:val="ConsPlusNormal"/>
        <w:ind w:left="0" w:right="0" w:firstLine="709"/>
        <w:jc w:val="both"/>
        <w:rPr/>
      </w:pPr>
      <w:r>
        <w:rPr>
          <w:sz w:val="28"/>
          <w:szCs w:val="28"/>
        </w:rPr>
        <w:t>28. Копии документов, указанных в пункте 27 настоящего Порядка, заверяются руководителем и главным бухгалтером (при наличии) организации, реализующей проект, подлинники указанных документов представляются для сверки с представленными копиями.</w:t>
      </w:r>
    </w:p>
    <w:p>
      <w:pPr>
        <w:pStyle w:val="ConsPlusNormal"/>
        <w:ind w:left="0" w:right="0" w:firstLine="709"/>
        <w:jc w:val="both"/>
        <w:rPr/>
      </w:pPr>
      <w:r>
        <w:rPr>
          <w:sz w:val="28"/>
          <w:szCs w:val="28"/>
        </w:rPr>
        <w:t>Документы, предусмотренные пунктом 27 настоящего Порядка, представляются в Уполномоченный орган через систему электронного документооборота государственной информационной системы «Капиталовложения».</w:t>
      </w:r>
    </w:p>
    <w:p>
      <w:pPr>
        <w:pStyle w:val="ConsPlusNormal"/>
        <w:ind w:left="0" w:right="0" w:firstLine="709"/>
        <w:jc w:val="both"/>
        <w:rPr/>
      </w:pPr>
      <w:r>
        <w:rPr>
          <w:sz w:val="28"/>
          <w:szCs w:val="28"/>
        </w:rPr>
        <w:t>Организация, реализующая проект, несет ответственность за достоверность, полноту и содержание представленных документов.</w:t>
      </w:r>
    </w:p>
    <w:p>
      <w:pPr>
        <w:pStyle w:val="ConsPlusNormal"/>
        <w:ind w:left="0" w:right="0" w:firstLine="709"/>
        <w:jc w:val="both"/>
        <w:rPr/>
      </w:pPr>
      <w:r>
        <w:rPr>
          <w:sz w:val="28"/>
          <w:szCs w:val="28"/>
        </w:rPr>
        <w:t>Уполномоченный орган регистрирует заявление и документы, указанные в пункте 27 настоящего Порядка, в течение одного рабочего дня со дня их поступления.</w:t>
      </w:r>
    </w:p>
    <w:p>
      <w:pPr>
        <w:pStyle w:val="ConsPlusNormal"/>
        <w:ind w:left="0" w:right="0" w:firstLine="709"/>
        <w:jc w:val="both"/>
        <w:rPr/>
      </w:pPr>
      <w:r>
        <w:rPr>
          <w:sz w:val="28"/>
          <w:szCs w:val="28"/>
        </w:rPr>
        <w:t>29. В случае изменения основных условий (в том числе изменения характеристик объекта инфраструктуры и (или) его сметной стоимости) организация, реализующая проект, направляет в Уполномоченный орган документы, уточняющие такие основные условия, в срок до 1 апреля года, предшествующего году предоставления субсидии.</w:t>
      </w:r>
    </w:p>
    <w:p>
      <w:pPr>
        <w:pStyle w:val="ConsPlusNormal"/>
        <w:ind w:left="0" w:right="0" w:firstLine="709"/>
        <w:jc w:val="both"/>
        <w:rPr/>
      </w:pPr>
      <w:r>
        <w:rPr>
          <w:sz w:val="28"/>
          <w:szCs w:val="28"/>
        </w:rPr>
        <w:t xml:space="preserve">30. Уполномоченный </w:t>
      </w:r>
      <w:bookmarkStart w:id="7" w:name="Par170"/>
      <w:bookmarkStart w:id="8" w:name="Par174"/>
      <w:bookmarkStart w:id="9" w:name="Par179"/>
      <w:bookmarkStart w:id="10" w:name="Par180"/>
      <w:bookmarkStart w:id="11" w:name="Par162"/>
      <w:bookmarkEnd w:id="7"/>
      <w:bookmarkEnd w:id="8"/>
      <w:bookmarkEnd w:id="9"/>
      <w:bookmarkEnd w:id="10"/>
      <w:bookmarkEnd w:id="11"/>
      <w:r>
        <w:rPr>
          <w:sz w:val="28"/>
          <w:szCs w:val="28"/>
        </w:rPr>
        <w:t>орган не позднее 15 июля года, предшествующего году предполагаемого предоставления средств субсидии, рассматривает представленные организацией, реализующей проект, в соответствии с пунктами 27 и 29 настоящего Порядка заявление, информацию и документы об объектах, затраты на которые могут быть возмещены в соответствии с пунктом 9 настоящего Порядка, и подготавливает письмо о возможности (невозможности) последующего предоставления субсидии.</w:t>
      </w:r>
    </w:p>
    <w:p>
      <w:pPr>
        <w:pStyle w:val="ConsPlusNormal"/>
        <w:ind w:left="0" w:right="0" w:firstLine="709"/>
        <w:jc w:val="both"/>
        <w:rPr/>
      </w:pPr>
      <w:r>
        <w:rPr>
          <w:sz w:val="28"/>
          <w:szCs w:val="28"/>
        </w:rPr>
        <w:t>Уполномоченный орган вправе продлить срок подготовки письма, указанный в абзаце первом настоящего пункта, до 1 октября года, предшествующего году предполагаемого предоставления средств субсидии.</w:t>
      </w:r>
    </w:p>
    <w:p>
      <w:pPr>
        <w:pStyle w:val="ConsPlusNormal"/>
        <w:ind w:left="0" w:right="0" w:firstLine="709"/>
        <w:jc w:val="both"/>
        <w:rPr/>
      </w:pPr>
      <w:bookmarkStart w:id="12" w:name="Par248"/>
      <w:bookmarkEnd w:id="12"/>
      <w:r>
        <w:rPr>
          <w:sz w:val="28"/>
          <w:szCs w:val="28"/>
        </w:rPr>
        <w:t>31. Уполномоченный орган путем направления запросов в заинтересованные органы власти и организации, в том числе в регулируемые организации и (или) в приемлемых случаях в уполномоченные органы исполнительной власти, осуществляющие утверждение программ перспективного развития отдельных отраслей экономики, осуществляет:</w:t>
      </w:r>
    </w:p>
    <w:p>
      <w:pPr>
        <w:pStyle w:val="ConsPlusNormal"/>
        <w:ind w:left="0" w:right="0" w:firstLine="709"/>
        <w:jc w:val="both"/>
        <w:rPr/>
      </w:pPr>
      <w:r>
        <w:rPr>
          <w:sz w:val="28"/>
          <w:szCs w:val="28"/>
        </w:rPr>
        <w:t>а) проверку соблюдения условий предоставления субсидии, предусмотренных Федеральным законом и настоящим Порядком, и проверку организации, реализующей проект, на соответствие требованиям Федерального закона:</w:t>
      </w:r>
    </w:p>
    <w:p>
      <w:pPr>
        <w:pStyle w:val="ConsPlusNormal"/>
        <w:ind w:left="0" w:right="0" w:firstLine="709"/>
        <w:jc w:val="both"/>
        <w:rPr/>
      </w:pPr>
      <w:r>
        <w:rPr>
          <w:sz w:val="28"/>
          <w:szCs w:val="28"/>
        </w:rPr>
        <w:t>отсутствие у организации, реализующей проект,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pPr>
        <w:pStyle w:val="ConsPlusNormal"/>
        <w:ind w:left="0" w:right="0" w:firstLine="709"/>
        <w:jc w:val="both"/>
        <w:rPr/>
      </w:pPr>
      <w:r>
        <w:rPr>
          <w:sz w:val="28"/>
          <w:szCs w:val="28"/>
        </w:rPr>
        <w:t>отсутствие у организации, реализующей проект, просроченной (неурегулированной) задолженности по денежным обязательствам перед Республикой Татарстан (за исключением случаев, установленных Кабинетом Министров Республики Татарстан);</w:t>
      </w:r>
    </w:p>
    <w:p>
      <w:pPr>
        <w:pStyle w:val="ConsPlusNormal"/>
        <w:ind w:left="0" w:right="0" w:firstLine="709"/>
        <w:jc w:val="both"/>
        <w:rPr/>
      </w:pPr>
      <w:r>
        <w:rPr>
          <w:sz w:val="28"/>
          <w:szCs w:val="28"/>
        </w:rPr>
        <w:t>организация, реализующая проект, не находится в процессе реорганизации, ликвидации, в отношении нее не введена процедура банкротства, деятельность организации, реализующей проект, не приостановлена в порядке, предусмотренном законодательством Российской Федерации;</w:t>
      </w:r>
    </w:p>
    <w:p>
      <w:pPr>
        <w:pStyle w:val="ConsPlusNormal"/>
        <w:ind w:left="0" w:right="0" w:firstLine="709"/>
        <w:jc w:val="both"/>
        <w:rPr/>
      </w:pPr>
      <w:r>
        <w:rPr>
          <w:sz w:val="28"/>
          <w:szCs w:val="28"/>
        </w:rPr>
        <w:t>организация, реализующая проект,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(офшорные зоны), в совокупности превышает 25 процентов;</w:t>
      </w:r>
    </w:p>
    <w:p>
      <w:pPr>
        <w:pStyle w:val="ConsPlusNormal"/>
        <w:ind w:left="0" w:right="0" w:firstLine="709"/>
        <w:jc w:val="both"/>
        <w:rPr/>
      </w:pPr>
      <w:r>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реализующей проект;</w:t>
      </w:r>
    </w:p>
    <w:p>
      <w:pPr>
        <w:pStyle w:val="ConsPlusNormal"/>
        <w:ind w:left="0" w:right="0" w:firstLine="709"/>
        <w:jc w:val="both"/>
        <w:rPr/>
      </w:pPr>
      <w:r>
        <w:rPr>
          <w:sz w:val="28"/>
          <w:szCs w:val="28"/>
        </w:rPr>
        <w:t xml:space="preserve">б) проверку в соответствии с </w:t>
      </w:r>
      <w:hyperlink r:id="rId41">
        <w:r>
          <w:rPr>
            <w:sz w:val="28"/>
            <w:szCs w:val="28"/>
          </w:rPr>
          <w:t>частью 18 статьи 15</w:t>
        </w:r>
      </w:hyperlink>
      <w:r>
        <w:rPr>
          <w:sz w:val="28"/>
          <w:szCs w:val="28"/>
        </w:rPr>
        <w:t xml:space="preserve"> Федерального закона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проекта, передаваемых в государственную (муниципальную) собственность или поступающих в собственность регулируемой организации, путем проверки наличия средств федерального бюджета (бюджета субъекта Российской Федерации) на обслуживание, содержание, эксплуатацию (с возможностью ликвидации) объектов сопутствующей инфраструктуры (в случае применимости), проверку готовности балансодержателя принять на баланс созданный объект инфраструктуры (в случае применимости);</w:t>
      </w:r>
    </w:p>
    <w:p>
      <w:pPr>
        <w:pStyle w:val="ConsPlusNormal"/>
        <w:ind w:left="0" w:right="0" w:firstLine="709"/>
        <w:jc w:val="both"/>
        <w:rPr/>
      </w:pPr>
      <w:r>
        <w:rPr>
          <w:sz w:val="28"/>
          <w:szCs w:val="28"/>
        </w:rPr>
        <w:t xml:space="preserve">в) проверку отсутствия проектов создания объектов инфраструктуры в </w:t>
      </w:r>
      <w:r>
        <w:rPr>
          <w:color w:val="000000"/>
          <w:sz w:val="28"/>
          <w:szCs w:val="28"/>
        </w:rPr>
        <w:t xml:space="preserve">инвестиционных программах регулируемых организаций и (или) в применимых случаях в программах перспективного развития отдельных отраслей экономики, затраты на создание которых подлежат возмещению (за исключением случая, указанного в </w:t>
      </w:r>
      <w:hyperlink r:id="rId42">
        <w:r>
          <w:rPr>
            <w:color w:val="000000"/>
            <w:sz w:val="28"/>
            <w:szCs w:val="28"/>
          </w:rPr>
          <w:t>части 20 статьи 15</w:t>
        </w:r>
      </w:hyperlink>
      <w:r>
        <w:rPr>
          <w:color w:val="000000"/>
          <w:sz w:val="28"/>
          <w:szCs w:val="28"/>
        </w:rPr>
        <w:t xml:space="preserve"> Федерального закона), проверку готовности принять на баланс созданный объект инфраструктуры (в случае применимости);</w:t>
      </w:r>
    </w:p>
    <w:p>
      <w:pPr>
        <w:pStyle w:val="ConsPlusNormal"/>
        <w:ind w:left="0" w:right="0" w:firstLine="709"/>
        <w:jc w:val="both"/>
        <w:rPr/>
      </w:pPr>
      <w:r>
        <w:rPr>
          <w:color w:val="000000"/>
          <w:sz w:val="28"/>
          <w:szCs w:val="28"/>
        </w:rPr>
        <w:t>г) проверку готовности регулируемой организации осуществить финансовое обеспечение создания объекта</w:t>
      </w:r>
      <w:r>
        <w:rPr>
          <w:sz w:val="28"/>
          <w:szCs w:val="28"/>
        </w:rPr>
        <w:t xml:space="preserve"> инфраструктуры за счет собственных средств в рамках инвестиционной программы в сроки, необходимые для реализации проекта, в порядке, установленном законодательством Российской Федерации в соответствующей отрасли экономики (при наличии);</w:t>
      </w:r>
    </w:p>
    <w:p>
      <w:pPr>
        <w:pStyle w:val="ConsPlusNormal"/>
        <w:ind w:left="0" w:right="0" w:firstLine="709"/>
        <w:jc w:val="both"/>
        <w:rPr/>
      </w:pPr>
      <w:r>
        <w:rPr>
          <w:sz w:val="28"/>
          <w:szCs w:val="28"/>
        </w:rPr>
        <w:t>д) проверку отсутствия (наличия) предоставленных средств из бюджета бюджетной системы Российской Федерации, в том числе на основании иных нормативных правовых актов или муниципальных правовых актов, по направлениям, предусмотренным пунктом 9 настоящего Порядка, по тому же проекту, затраты в отношении которого подлежат возмещению в соответствии с настоящим Порядком;</w:t>
      </w:r>
    </w:p>
    <w:p>
      <w:pPr>
        <w:pStyle w:val="ConsPlusNormal"/>
        <w:ind w:left="0" w:right="0" w:firstLine="709"/>
        <w:jc w:val="both"/>
        <w:rPr/>
      </w:pPr>
      <w:r>
        <w:rPr>
          <w:sz w:val="28"/>
          <w:szCs w:val="28"/>
        </w:rPr>
        <w:t>е) проверку заключения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9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9 настоящего Порядка.</w:t>
      </w:r>
    </w:p>
    <w:p>
      <w:pPr>
        <w:pStyle w:val="ConsPlusNormal"/>
        <w:ind w:left="0" w:right="0" w:firstLine="709"/>
        <w:jc w:val="both"/>
        <w:rPr/>
      </w:pPr>
      <w:r>
        <w:rPr>
          <w:sz w:val="28"/>
          <w:szCs w:val="28"/>
        </w:rPr>
        <w:t>32. Запросы, указанные в пункте 31 настоящего Порядка, подготавливаются Уполномоченным органом в течение пяти рабочих дней со дня представления организацией, реализующей проект, заявления, документов и материалов, указанных в пунктах 27 и 29 настоящего Порядка.</w:t>
      </w:r>
    </w:p>
    <w:p>
      <w:pPr>
        <w:pStyle w:val="ConsPlusNormal"/>
        <w:ind w:left="0" w:right="0" w:firstLine="709"/>
        <w:jc w:val="both"/>
        <w:rPr/>
      </w:pPr>
      <w:r>
        <w:rPr>
          <w:sz w:val="28"/>
          <w:szCs w:val="28"/>
        </w:rPr>
        <w:t>Ответы на запросы, указанные в пункте 31 настоящего Порядка, направляются заинтересованными органами власти и организациями не позднее 10 рабочих дней со дня поступления соответствующего запроса.</w:t>
      </w:r>
    </w:p>
    <w:p>
      <w:pPr>
        <w:pStyle w:val="ConsPlusNormal"/>
        <w:ind w:left="0" w:right="0" w:firstLine="709"/>
        <w:jc w:val="both"/>
        <w:rPr/>
      </w:pPr>
      <w:r>
        <w:rPr>
          <w:sz w:val="28"/>
          <w:szCs w:val="28"/>
        </w:rPr>
        <w:t>33. Уполномоченный орган в течение 10 рабочих дней со дня поступления документов, указанных в пункте 32 настоящего Порядка, осуществляет оценку комплектности документов, указанных в пунктах 27 и 29 настоящего Порядка, и их соответствия требованиям Федерального закона и настоящего Порядка и направляет указанные документы на рассмотрение в Министерство строительства, архитектуры и жилищно-коммунального хозяйства Республики Татарстан (далее – Отраслевой орган), для оценки предполагаемой общей суммы затрат, подлежащей возмещению.</w:t>
      </w:r>
    </w:p>
    <w:p>
      <w:pPr>
        <w:pStyle w:val="ConsPlusNormal"/>
        <w:ind w:left="0" w:right="0" w:firstLine="709"/>
        <w:jc w:val="both"/>
        <w:rPr/>
      </w:pPr>
      <w:r>
        <w:rPr>
          <w:sz w:val="28"/>
          <w:szCs w:val="28"/>
        </w:rPr>
        <w:t>Отраслевой орган в течение 30 календарных дней со дня поступления указанных документов направляет в Уполномоченный орган результаты проведенного анализа документов, исходя из их содержания, а также:</w:t>
      </w:r>
    </w:p>
    <w:p>
      <w:pPr>
        <w:pStyle w:val="ConsPlusNormal"/>
        <w:ind w:left="0" w:right="0" w:firstLine="709"/>
        <w:jc w:val="both"/>
        <w:rPr/>
      </w:pPr>
      <w:r>
        <w:rPr>
          <w:sz w:val="28"/>
          <w:szCs w:val="28"/>
        </w:rPr>
        <w:t>информацию о предполагаемой общей сумме затрат, подлежащих возмещению;</w:t>
      </w:r>
    </w:p>
    <w:p>
      <w:pPr>
        <w:pStyle w:val="ConsPlusNormal"/>
        <w:ind w:left="0" w:right="0" w:firstLine="709"/>
        <w:jc w:val="both"/>
        <w:rPr/>
      </w:pPr>
      <w:r>
        <w:rPr>
          <w:sz w:val="28"/>
          <w:szCs w:val="28"/>
        </w:rPr>
        <w:t>подтверждение расходов, направленных на создание объектов инфраструктуры и (или) создание (строительство) новых либо реконструкцию и (или) модернизацию существующих объектов недвижимого имущества и (или) комплекса объектов движимого и недвижимого имущества, связанных между собой.</w:t>
      </w:r>
    </w:p>
    <w:p>
      <w:pPr>
        <w:pStyle w:val="ConsPlusNormal"/>
        <w:ind w:left="0" w:right="0" w:firstLine="709"/>
        <w:jc w:val="both"/>
        <w:rPr/>
      </w:pPr>
      <w:r>
        <w:rPr>
          <w:sz w:val="28"/>
          <w:szCs w:val="28"/>
        </w:rPr>
        <w:t>34. Уполномоченный орган по итогам рассмотрения документов, указанных в пункте 27 настоящего Порядка, принимает одно из следующих решений, оформляемых в форме приказа Уполномоченного органа:</w:t>
      </w:r>
    </w:p>
    <w:p>
      <w:pPr>
        <w:pStyle w:val="ConsPlusNormal"/>
        <w:ind w:left="0" w:right="0" w:firstLine="709"/>
        <w:jc w:val="both"/>
        <w:rPr/>
      </w:pPr>
      <w:r>
        <w:rPr>
          <w:sz w:val="28"/>
          <w:szCs w:val="28"/>
        </w:rPr>
        <w:t>о возможности предоставления субсидии;</w:t>
      </w:r>
    </w:p>
    <w:p>
      <w:pPr>
        <w:pStyle w:val="ConsPlusNormal"/>
        <w:ind w:left="0" w:right="0" w:firstLine="709"/>
        <w:jc w:val="both"/>
        <w:rPr/>
      </w:pPr>
      <w:r>
        <w:rPr>
          <w:sz w:val="28"/>
          <w:szCs w:val="28"/>
        </w:rPr>
        <w:t xml:space="preserve">об отказе в предоставлении субсидии. </w:t>
      </w:r>
    </w:p>
    <w:p>
      <w:pPr>
        <w:pStyle w:val="ConsPlusNormal"/>
        <w:ind w:left="0" w:right="0" w:firstLine="709"/>
        <w:jc w:val="both"/>
        <w:rPr/>
      </w:pPr>
      <w:r>
        <w:rPr>
          <w:sz w:val="28"/>
          <w:szCs w:val="28"/>
        </w:rPr>
        <w:t>Уполномоченный орган направляет уведомление о принятом решении в адрес организации, реализующей проект, в срок не позднее 5 рабочих дней со дня принятия такого решения.</w:t>
      </w:r>
    </w:p>
    <w:p>
      <w:pPr>
        <w:pStyle w:val="ConsPlusNormal"/>
        <w:ind w:left="0" w:right="0" w:firstLine="709"/>
        <w:jc w:val="both"/>
        <w:rPr/>
      </w:pPr>
      <w:r>
        <w:rPr>
          <w:sz w:val="28"/>
          <w:szCs w:val="28"/>
        </w:rPr>
        <w:t>Основаниями для отказа организации, реализующей проект, в предоставлении субсидии являются:</w:t>
      </w:r>
    </w:p>
    <w:p>
      <w:pPr>
        <w:pStyle w:val="ConsPlusNormal"/>
        <w:ind w:left="0" w:right="0" w:firstLine="709"/>
        <w:jc w:val="both"/>
        <w:rPr/>
      </w:pPr>
      <w:r>
        <w:rPr>
          <w:sz w:val="28"/>
          <w:szCs w:val="28"/>
        </w:rPr>
        <w:t>несоответствие организации, реализующей проект, представленных ей документов требованиям, определенным пунктами 25, 26 и 27 настоящего Порядка, или непредставление (представление не в полном объеме) документов;</w:t>
      </w:r>
    </w:p>
    <w:p>
      <w:pPr>
        <w:pStyle w:val="ConsPlusNormal"/>
        <w:ind w:left="0" w:right="0" w:firstLine="709"/>
        <w:jc w:val="both"/>
        <w:rPr/>
      </w:pPr>
      <w:r>
        <w:rPr>
          <w:sz w:val="28"/>
          <w:szCs w:val="28"/>
        </w:rPr>
        <w:t>установление факта недостоверности представленной организацией, реализующей проект, информации.</w:t>
      </w:r>
    </w:p>
    <w:p>
      <w:pPr>
        <w:pStyle w:val="ConsPlusNormal"/>
        <w:ind w:left="0" w:right="0" w:firstLine="709"/>
        <w:jc w:val="both"/>
        <w:rPr/>
      </w:pPr>
      <w:r>
        <w:rPr>
          <w:sz w:val="28"/>
          <w:szCs w:val="28"/>
        </w:rPr>
        <w:t>затраты уже возмещены организации, реализующей проект (взаимозависимым с ней лицам), за счет средств бюджетов бюджетной системы Российской Федерации;</w:t>
      </w:r>
    </w:p>
    <w:p>
      <w:pPr>
        <w:pStyle w:val="ConsPlusNormal"/>
        <w:ind w:left="0" w:right="0" w:firstLine="709"/>
        <w:jc w:val="both"/>
        <w:rPr/>
      </w:pPr>
      <w:r>
        <w:rPr>
          <w:sz w:val="28"/>
          <w:szCs w:val="28"/>
        </w:rPr>
        <w:t>проект реализуется в сфере цифровой экономики, по нему предоставляются меры государственной поддержки в соответствии с национальной программой «Цифровая экономика Российской Федерации».</w:t>
      </w:r>
    </w:p>
    <w:p>
      <w:pPr>
        <w:pStyle w:val="ConsPlusNormal"/>
        <w:ind w:left="0" w:right="0" w:firstLine="709"/>
        <w:jc w:val="both"/>
        <w:rPr/>
      </w:pPr>
      <w:r>
        <w:rPr>
          <w:sz w:val="28"/>
          <w:szCs w:val="28"/>
        </w:rPr>
        <w:t>В случае отказа в заключении соглашения о предоставлении субсидии в связи с представлением неполного комплекта документов, предусмотренных пунктом 27 настоящего Порядка, организация, реализующая проект, не позднее 1 апреля года, предшествующего году предполагаемой даты начала предоставления средств субсидии, вправе повторно подать документы в Уполномоченный орган после устранения причин.</w:t>
      </w:r>
    </w:p>
    <w:p>
      <w:pPr>
        <w:pStyle w:val="ConsPlusNormal"/>
        <w:ind w:left="0" w:right="0" w:firstLine="709"/>
        <w:jc w:val="both"/>
        <w:rPr/>
      </w:pPr>
      <w:r>
        <w:rPr>
          <w:sz w:val="28"/>
          <w:szCs w:val="28"/>
        </w:rPr>
        <w:t xml:space="preserve">35. Уполномоченный орган на основании представленных организацией, реализующей проект, сведений о прогнозируемом объеме </w:t>
      </w:r>
      <w:r>
        <w:rPr>
          <w:b w:val="false"/>
          <w:sz w:val="28"/>
          <w:szCs w:val="28"/>
        </w:rPr>
        <w:t>обязательных платежей, исчисленных организацией, реализующей проект, для уплаты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w:t>
      </w:r>
      <w:r>
        <w:rPr>
          <w:sz w:val="28"/>
          <w:szCs w:val="28"/>
        </w:rPr>
        <w:t>, а также на основании результатов мониторинга условий соглашения о защите и поощрении капиталовложений и этапов реализации проекта в установленном порядке осуществляет внесение предложений об объеме государственной поддержки, подлежащей возмещению в соответствии с настоящим Порядком, при составлении проекта бюджета Республики Татарстан  на следующий финансовый год и плановый период. Консолидированный прогноз объема государственной поддержки на очередной финансовый год и плановый период формируется с учетом анализа объема поступлений налогов и таможенных пошлин, уплаченных в связи с реализацией проекта.</w:t>
      </w:r>
    </w:p>
    <w:p>
      <w:pPr>
        <w:pStyle w:val="ConsPlusNormal"/>
        <w:ind w:left="0" w:right="0" w:firstLine="709"/>
        <w:jc w:val="both"/>
        <w:rPr/>
      </w:pPr>
      <w:r>
        <w:rPr>
          <w:sz w:val="28"/>
          <w:szCs w:val="28"/>
        </w:rPr>
        <w:t>36. Субсидия предоставляется организации, реализующей проект, на основании заключенного с Уполномоченным органом соглашения о предоставлении субсидии, предусматривающего в том числе:</w:t>
      </w:r>
    </w:p>
    <w:p>
      <w:pPr>
        <w:pStyle w:val="ConsPlusNormal"/>
        <w:ind w:left="0" w:right="0" w:firstLine="709"/>
        <w:jc w:val="both"/>
        <w:rPr/>
      </w:pPr>
      <w:r>
        <w:rPr>
          <w:sz w:val="28"/>
          <w:szCs w:val="28"/>
        </w:rPr>
        <w:t>а) цель и условия предоставления субсидии, установленные настоящим Порядком, и размер субсидии;</w:t>
      </w:r>
    </w:p>
    <w:p>
      <w:pPr>
        <w:pStyle w:val="ConsPlusNormal"/>
        <w:ind w:left="0" w:right="0" w:firstLine="709"/>
        <w:jc w:val="both"/>
        <w:rPr/>
      </w:pPr>
      <w:r>
        <w:rPr>
          <w:sz w:val="28"/>
          <w:szCs w:val="28"/>
        </w:rPr>
        <w:t>б) права и обязанности сторон соглашения о предоставлении субсидии;</w:t>
      </w:r>
    </w:p>
    <w:p>
      <w:pPr>
        <w:pStyle w:val="ConsPlusNormal"/>
        <w:ind w:left="0" w:right="0" w:firstLine="709"/>
        <w:jc w:val="both"/>
        <w:rPr/>
      </w:pPr>
      <w:r>
        <w:rPr>
          <w:sz w:val="28"/>
          <w:szCs w:val="28"/>
        </w:rPr>
        <w:t xml:space="preserve">в) согласие организации, реализующей проект, на осуществление Уполномоченным органом проверок соблюдения порядка и условий предоставления субсидии, в том числе в части результатов предоставления субсидии, а также проверок органами государственного финансового контроля в соответствии со статьями </w:t>
      </w:r>
      <w:r>
        <w:rPr>
          <w:b w:val="false"/>
          <w:sz w:val="28"/>
          <w:szCs w:val="28"/>
        </w:rPr>
        <w:t>268</w:t>
      </w:r>
      <w:r>
        <w:rPr>
          <w:b w:val="false"/>
          <w:sz w:val="28"/>
          <w:szCs w:val="28"/>
          <w:vertAlign w:val="superscript"/>
        </w:rPr>
        <w:t>1</w:t>
      </w:r>
      <w:r>
        <w:rPr>
          <w:b w:val="false"/>
          <w:sz w:val="28"/>
          <w:szCs w:val="28"/>
        </w:rPr>
        <w:t xml:space="preserve"> </w:t>
      </w:r>
      <w:r>
        <w:rPr>
          <w:sz w:val="28"/>
          <w:szCs w:val="28"/>
        </w:rPr>
        <w:t xml:space="preserve"> и </w:t>
      </w:r>
      <w:r>
        <w:rPr>
          <w:b w:val="false"/>
          <w:sz w:val="28"/>
          <w:szCs w:val="28"/>
        </w:rPr>
        <w:t>269</w:t>
      </w:r>
      <w:r>
        <w:rPr>
          <w:b w:val="false"/>
          <w:sz w:val="28"/>
          <w:szCs w:val="28"/>
          <w:vertAlign w:val="superscript"/>
        </w:rPr>
        <w:t xml:space="preserve">2 </w:t>
      </w:r>
      <w:r>
        <w:rPr>
          <w:sz w:val="28"/>
          <w:szCs w:val="28"/>
        </w:rPr>
        <w:t xml:space="preserve"> Бюджетного кодекса Российской Федерации;</w:t>
      </w:r>
    </w:p>
    <w:p>
      <w:pPr>
        <w:pStyle w:val="ConsPlusNormal"/>
        <w:ind w:left="0" w:right="0" w:firstLine="709"/>
        <w:jc w:val="both"/>
        <w:rPr/>
      </w:pPr>
      <w:r>
        <w:rPr>
          <w:sz w:val="28"/>
          <w:szCs w:val="28"/>
        </w:rPr>
        <w:t>г) условия расторжения соглашения о предоставлении субсидии, включая условие его одностороннего расторжения Уполномоченным органом в случае нарушения организацией, реализующей проект, условий предоставления субсидии;</w:t>
      </w:r>
    </w:p>
    <w:p>
      <w:pPr>
        <w:pStyle w:val="ConsPlusNormal"/>
        <w:ind w:left="0" w:right="0" w:firstLine="709"/>
        <w:jc w:val="both"/>
        <w:rPr/>
      </w:pPr>
      <w:r>
        <w:rPr>
          <w:sz w:val="28"/>
          <w:szCs w:val="28"/>
        </w:rPr>
        <w:t>д) порядок возврата субсидии в бюджет Республики Татарстан в случае нарушения условий, установленных при предоставлении субсидии;</w:t>
      </w:r>
    </w:p>
    <w:p>
      <w:pPr>
        <w:pStyle w:val="ConsPlusNormal"/>
        <w:ind w:left="0" w:right="0" w:firstLine="709"/>
        <w:jc w:val="both"/>
        <w:rPr/>
      </w:pPr>
      <w:r>
        <w:rPr>
          <w:sz w:val="28"/>
          <w:szCs w:val="28"/>
        </w:rPr>
        <w:t xml:space="preserve">е) </w:t>
      </w:r>
      <w:r>
        <w:rPr>
          <w:b w:val="false"/>
          <w:sz w:val="28"/>
          <w:szCs w:val="28"/>
        </w:rPr>
        <w:t>обязательство организации, реализующей проект, в случае расторжения соглашения о защите и поощрении капиталовложений по основаниям, предусмотренным частями 13 и 14 статьи 11 Федерального закона, или признания такого соглашения недействительным в соответствии с гражданским законодательством, а также в случае нарушения условий предоставления субсидии, установленных при предоставлении субсидии, возвратить в бюджет Республики Татарстан средства в размере предоставленной субсидии (в размере, использованном с допущением нарушения);</w:t>
      </w:r>
    </w:p>
    <w:p>
      <w:pPr>
        <w:pStyle w:val="ConsPlusNormal"/>
        <w:ind w:left="0" w:right="0" w:firstLine="709"/>
        <w:jc w:val="both"/>
        <w:rPr/>
      </w:pPr>
      <w:r>
        <w:rPr>
          <w:b w:val="false"/>
          <w:sz w:val="28"/>
          <w:szCs w:val="28"/>
        </w:rPr>
        <w:t>ж) запрет приобретения организацией, реализующей проект,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w:t>
      </w:r>
    </w:p>
    <w:p>
      <w:pPr>
        <w:pStyle w:val="ConsPlusNormal"/>
        <w:ind w:left="0" w:right="0" w:firstLine="709"/>
        <w:jc w:val="both"/>
        <w:rPr/>
      </w:pPr>
      <w:r>
        <w:rPr>
          <w:sz w:val="28"/>
          <w:szCs w:val="28"/>
        </w:rPr>
        <w:t>з) положения, предусматривающие обязанность организации, реализующей проект,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Уполномоченного органа денежных средств со счетов, открытых юридическому лицу в указанных кредитных организациях, в размере, не превышающем размера субсидии, в случае нарушения условий, установленных при предоставлении субсидии;</w:t>
      </w:r>
    </w:p>
    <w:p>
      <w:pPr>
        <w:pStyle w:val="ConsPlusNormal"/>
        <w:ind w:left="0" w:right="0" w:firstLine="709"/>
        <w:jc w:val="both"/>
        <w:rPr/>
      </w:pPr>
      <w:r>
        <w:rPr>
          <w:sz w:val="28"/>
          <w:szCs w:val="28"/>
        </w:rPr>
        <w:t>и) порядок, формы и сроки представления отчетности о выполнении условий соглашения о предоставлении субсидии.</w:t>
      </w:r>
    </w:p>
    <w:p>
      <w:pPr>
        <w:pStyle w:val="ConsPlusNormal"/>
        <w:ind w:left="0" w:right="0" w:firstLine="709"/>
        <w:jc w:val="both"/>
        <w:rPr/>
      </w:pPr>
      <w:r>
        <w:rPr>
          <w:sz w:val="28"/>
          <w:szCs w:val="28"/>
        </w:rPr>
        <w:t>37. Для заключения соглашения о предоставлении субсидии организация, реализующая проект, в отношении которой принято решение о возможности предоставления субсидии (далее - получатель субсидии), представляет заявление о заключении соглашения о предоставлении субсидии в Уполномоченный орган не позднее 1 апреля года, в котором планируется предоставление субсидии.</w:t>
      </w:r>
    </w:p>
    <w:p>
      <w:pPr>
        <w:pStyle w:val="ConsPlusNormal"/>
        <w:ind w:left="0" w:right="0" w:firstLine="709"/>
        <w:jc w:val="both"/>
        <w:rPr/>
      </w:pPr>
      <w:r>
        <w:rPr>
          <w:sz w:val="28"/>
          <w:szCs w:val="28"/>
        </w:rPr>
        <w:t>Наряду с указанным заявлением получатель субсидии представляет:</w:t>
      </w:r>
    </w:p>
    <w:p>
      <w:pPr>
        <w:pStyle w:val="ConsPlusNormal"/>
        <w:ind w:left="0" w:right="0" w:firstLine="709"/>
        <w:jc w:val="both"/>
        <w:rPr/>
      </w:pPr>
      <w:r>
        <w:rPr>
          <w:sz w:val="28"/>
          <w:szCs w:val="28"/>
        </w:rPr>
        <w:t>гарантийное письмо о соответствии получателя субсидии требованиям, установленным пунктом 25 настоящего Порядка;</w:t>
      </w:r>
    </w:p>
    <w:p>
      <w:pPr>
        <w:pStyle w:val="ConsPlusNormal"/>
        <w:ind w:left="0" w:right="0" w:firstLine="709"/>
        <w:jc w:val="both"/>
        <w:rPr/>
      </w:pPr>
      <w:r>
        <w:rPr>
          <w:sz w:val="28"/>
          <w:szCs w:val="28"/>
        </w:rPr>
        <w:t>проект соглашения о предоставлении субсидии в соответствии с типовой формой, указанной в пункте 7 настоящего Порядка.</w:t>
      </w:r>
    </w:p>
    <w:p>
      <w:pPr>
        <w:pStyle w:val="ConsPlusNormal"/>
        <w:ind w:left="0" w:right="0" w:firstLine="709"/>
        <w:jc w:val="both"/>
        <w:rPr/>
      </w:pPr>
      <w:r>
        <w:rPr>
          <w:sz w:val="28"/>
          <w:szCs w:val="28"/>
        </w:rPr>
        <w:t>Уполномоченный орган в течение 20 рабочих дней со дня представления получателем субсидии документов, указанных в абзацах первом и втором настоящего пункта, проверяет соответствие организации, реализующей проект, требованиям, указанным в пункте 25 настоящего Порядка, по состоянию на текущее число месяца, в котором подано заявление о заключении соглашения о предоставлении субсидии, в том числе путем направления запроса в Федеральную налоговую службу.</w:t>
      </w:r>
    </w:p>
    <w:p>
      <w:pPr>
        <w:pStyle w:val="ConsPlusNormal"/>
        <w:ind w:left="0" w:right="0" w:firstLine="709"/>
        <w:jc w:val="both"/>
        <w:rPr/>
      </w:pPr>
      <w:r>
        <w:rPr>
          <w:sz w:val="28"/>
          <w:szCs w:val="28"/>
        </w:rPr>
        <w:t>38. Соглашение о предоставлении субсидии заключается между Уполномоченным органом и получателем субсидии в течение 30 рабочих дней с даты подачи организацией, реализующей проект, заявления, указанного в пункте 37 настоящего Порядка.</w:t>
      </w:r>
    </w:p>
    <w:p>
      <w:pPr>
        <w:pStyle w:val="ConsPlusNormal"/>
        <w:ind w:left="0" w:right="0" w:firstLine="709"/>
        <w:jc w:val="both"/>
        <w:rPr/>
      </w:pPr>
      <w:r>
        <w:rPr>
          <w:sz w:val="28"/>
          <w:szCs w:val="28"/>
        </w:rPr>
        <w:t>Основаниями для отказа в заключении соглашения о предоставлении субсидии являются:</w:t>
      </w:r>
    </w:p>
    <w:p>
      <w:pPr>
        <w:pStyle w:val="ConsPlusNormal"/>
        <w:ind w:left="0" w:right="0" w:firstLine="709"/>
        <w:jc w:val="both"/>
        <w:rPr/>
      </w:pPr>
      <w:r>
        <w:rPr>
          <w:sz w:val="28"/>
          <w:szCs w:val="28"/>
        </w:rPr>
        <w:t>нарушение получателем субсидии срока подачи заявления о заключении соглашения о предоставлении субсидии, указанного в пункте 37 настоящего Порядка;</w:t>
      </w:r>
    </w:p>
    <w:p>
      <w:pPr>
        <w:pStyle w:val="ConsPlusNormal"/>
        <w:ind w:left="0" w:right="0" w:firstLine="709"/>
        <w:jc w:val="both"/>
        <w:rPr/>
      </w:pPr>
      <w:r>
        <w:rPr>
          <w:sz w:val="28"/>
          <w:szCs w:val="28"/>
        </w:rPr>
        <w:t>несоответствие получателя субсидии требованиям, указанным в пункте 25 настоящего Порядка.</w:t>
      </w:r>
    </w:p>
    <w:p>
      <w:pPr>
        <w:pStyle w:val="Style18"/>
        <w:spacing w:lineRule="auto" w:line="240" w:before="0" w:after="0"/>
        <w:ind w:left="0" w:right="0" w:firstLine="709"/>
        <w:jc w:val="both"/>
        <w:rPr/>
      </w:pPr>
      <w:r>
        <w:rPr>
          <w:rFonts w:ascii="Times New Roman" w:hAnsi="Times New Roman"/>
          <w:color w:val="000000"/>
          <w:sz w:val="28"/>
          <w:szCs w:val="28"/>
        </w:rPr>
        <w:t>В случае непредставления получателем субсидии подписанного со своей стороны соглашения о предоставлении субсидии в течение 3 (трех) рабочих дней со дня получения уведомления Уполномоченного органа о необходимости его подписания, Уполномоченным органом в течение 2 (двух) рабочих дней принимается решение о признании получателя субсидии уклонившимся от подписания соглашения о предоставлении субсидии, которое оформляется в форме приказа Уполномоченного органа.</w:t>
      </w:r>
    </w:p>
    <w:p>
      <w:pPr>
        <w:pStyle w:val="ConsPlusNormal"/>
        <w:spacing w:lineRule="auto" w:line="240" w:before="0" w:after="0"/>
        <w:ind w:left="0" w:right="0" w:firstLine="709"/>
        <w:jc w:val="both"/>
        <w:rPr/>
      </w:pPr>
      <w:r>
        <w:rPr>
          <w:sz w:val="28"/>
          <w:szCs w:val="28"/>
        </w:rPr>
        <w:t>39. Предоставление субсидии осуществляется не позднее 28-го числа третьего месяца, следующего за предельным сроком подачи заявления о заключении соглашения о предоставлении субсидии, указанного в пункте 37 настоящего Порядка, в размере, определенном с учетом положений пункта 23 настоящего Порядка, не превышающем размера налогов (</w:t>
      </w:r>
      <w:r>
        <w:rPr>
          <w:b w:val="false"/>
          <w:sz w:val="28"/>
          <w:szCs w:val="28"/>
        </w:rPr>
        <w:t xml:space="preserve">налога на прибыль организаций, подлежащего зачислению в бюджет Республики Татарстан в соответствии с Налоговым </w:t>
      </w:r>
      <w:hyperlink r:id="rId43">
        <w:r>
          <w:rPr>
            <w:b w:val="false"/>
            <w:strike w:val="false"/>
            <w:dstrike w:val="false"/>
            <w:color w:val="000000"/>
            <w:sz w:val="28"/>
            <w:szCs w:val="28"/>
            <w:u w:val="none"/>
            <w:effect w:val="none"/>
          </w:rPr>
          <w:t>кодексом</w:t>
        </w:r>
      </w:hyperlink>
      <w:r>
        <w:rPr>
          <w:b w:val="false"/>
          <w:sz w:val="28"/>
          <w:szCs w:val="28"/>
        </w:rPr>
        <w:t xml:space="preserve"> Российской Федерации, и налога на имущество организаций)</w:t>
      </w:r>
      <w:r>
        <w:rPr>
          <w:sz w:val="28"/>
          <w:szCs w:val="28"/>
        </w:rPr>
        <w:t>, уплаченных получателем субсидии в бюджет Республики Татарстан в связи с реализацией проекта в отчетном финансовом году.</w:t>
      </w:r>
    </w:p>
    <w:p>
      <w:pPr>
        <w:pStyle w:val="ConsPlusNormal"/>
        <w:ind w:left="0" w:right="0" w:firstLine="709"/>
        <w:jc w:val="both"/>
        <w:rPr/>
      </w:pPr>
      <w:r>
        <w:rPr>
          <w:sz w:val="28"/>
          <w:szCs w:val="28"/>
        </w:rPr>
        <w:t>Получатель субсидии вправе ежегодно со дня заключения первого соглашения о предоставлении субсидии до истечения срока возмещения затрат или исчерпания суммы затрат, подлежащих возмещению (в зависимости от того, какая дата наступит ранее), представлять заявление о заключении соглашения о предоставлении субсидии в целях возмещения затрат в отношении одного итого же проекта до возмещения в полном объеме суммы затрат, подлежащих возмещению за счет средств субсидии.</w:t>
      </w:r>
    </w:p>
    <w:p>
      <w:pPr>
        <w:pStyle w:val="ConsPlusNormal"/>
        <w:ind w:left="0" w:right="0" w:firstLine="709"/>
        <w:jc w:val="both"/>
        <w:rPr/>
      </w:pPr>
      <w:r>
        <w:rPr>
          <w:sz w:val="28"/>
          <w:szCs w:val="28"/>
        </w:rPr>
        <w:t xml:space="preserve">Не позднее 30 апреля года, следующего за последним годом, в котором осуществлялось предоставление субсидии, Уполномоченным органом осуществляется окончательная корректировка размера субсидии, предоставленной за весь срок ее предоставления, с учетом сведений о суммах налогов </w:t>
      </w:r>
      <w:r>
        <w:rPr>
          <w:strike w:val="false"/>
          <w:dstrike w:val="false"/>
          <w:sz w:val="28"/>
          <w:szCs w:val="28"/>
        </w:rPr>
        <w:t>(</w:t>
      </w:r>
      <w:r>
        <w:rPr>
          <w:b w:val="false"/>
          <w:strike w:val="false"/>
          <w:dstrike w:val="false"/>
          <w:sz w:val="28"/>
          <w:szCs w:val="28"/>
        </w:rPr>
        <w:t>нал</w:t>
      </w:r>
      <w:r>
        <w:rPr>
          <w:b w:val="false"/>
          <w:sz w:val="28"/>
          <w:szCs w:val="28"/>
        </w:rPr>
        <w:t xml:space="preserve">ога на прибыль организаций, подлежащего зачислению в бюджет Республики Татарстан в соответствии с Налоговым </w:t>
      </w:r>
      <w:hyperlink r:id="rId44">
        <w:r>
          <w:rPr>
            <w:b w:val="false"/>
            <w:strike w:val="false"/>
            <w:dstrike w:val="false"/>
            <w:color w:val="000000"/>
            <w:sz w:val="28"/>
            <w:szCs w:val="28"/>
            <w:u w:val="none"/>
            <w:effect w:val="none"/>
          </w:rPr>
          <w:t>кодексом</w:t>
        </w:r>
      </w:hyperlink>
      <w:r>
        <w:rPr>
          <w:b w:val="false"/>
          <w:sz w:val="28"/>
          <w:szCs w:val="28"/>
        </w:rPr>
        <w:t xml:space="preserve"> Российской Федерации, и налога на имущество организаций), </w:t>
      </w:r>
      <w:r>
        <w:rPr>
          <w:sz w:val="28"/>
          <w:szCs w:val="28"/>
        </w:rPr>
        <w:t xml:space="preserve">уплаченных </w:t>
      </w:r>
      <w:r>
        <w:rPr>
          <w:strike w:val="false"/>
          <w:dstrike w:val="false"/>
          <w:sz w:val="28"/>
          <w:szCs w:val="28"/>
        </w:rPr>
        <w:t xml:space="preserve">налогов </w:t>
      </w:r>
      <w:r>
        <w:rPr>
          <w:sz w:val="28"/>
          <w:szCs w:val="28"/>
        </w:rPr>
        <w:t xml:space="preserve"> получателем субсидии в в связи с реализацией проекта. В случае наличия переплаты, организация, реализующая проект, обязана вернуть излишне полученные средства в бюджет Республики Татарстан.</w:t>
      </w:r>
    </w:p>
    <w:p>
      <w:pPr>
        <w:pStyle w:val="ConsPlusNormal"/>
        <w:ind w:left="0" w:right="0" w:firstLine="709"/>
        <w:jc w:val="both"/>
        <w:rPr/>
      </w:pPr>
      <w:r>
        <w:rPr>
          <w:sz w:val="28"/>
          <w:szCs w:val="28"/>
        </w:rPr>
        <w:t>Получатель субсидии ежегодно не позднее 15 апреля финансового года представляет в Уполномоченный орган сведения:</w:t>
      </w:r>
    </w:p>
    <w:p>
      <w:pPr>
        <w:pStyle w:val="ConsPlusNormal"/>
        <w:ind w:left="0" w:right="0" w:firstLine="709"/>
        <w:jc w:val="both"/>
        <w:rPr/>
      </w:pPr>
      <w:r>
        <w:rPr>
          <w:sz w:val="28"/>
          <w:szCs w:val="28"/>
        </w:rPr>
        <w:t xml:space="preserve">об использовании (планировании использования) </w:t>
      </w:r>
      <w:r>
        <w:rPr>
          <w:strike w:val="false"/>
          <w:dstrike w:val="false"/>
          <w:sz w:val="28"/>
          <w:szCs w:val="28"/>
        </w:rPr>
        <w:t>в качестве источника финансирования</w:t>
      </w:r>
      <w:r>
        <w:rPr>
          <w:sz w:val="28"/>
          <w:szCs w:val="28"/>
        </w:rPr>
        <w:t xml:space="preserve"> иных мер поддержки деятельности получателя субсидии;</w:t>
      </w:r>
    </w:p>
    <w:p>
      <w:pPr>
        <w:pStyle w:val="ConsPlusNormal"/>
        <w:ind w:left="0" w:right="0" w:firstLine="709"/>
        <w:jc w:val="both"/>
        <w:rPr/>
      </w:pPr>
      <w:r>
        <w:rPr>
          <w:sz w:val="28"/>
          <w:szCs w:val="28"/>
        </w:rPr>
        <w:t xml:space="preserve">о суммах </w:t>
      </w:r>
      <w:r>
        <w:rPr>
          <w:b w:val="false"/>
          <w:sz w:val="28"/>
          <w:szCs w:val="28"/>
        </w:rPr>
        <w:t>обязательных платежей, исчисленных получателем субсидии для уплаты в бюджеты публично-правовых образований, каждое из которых является стороной соглашения о защите и поощрении капиталовложений,</w:t>
      </w:r>
      <w:r>
        <w:rPr>
          <w:sz w:val="28"/>
          <w:szCs w:val="28"/>
        </w:rPr>
        <w:t xml:space="preserve"> и уплаченных </w:t>
      </w:r>
      <w:r>
        <w:rPr>
          <w:b w:val="false"/>
          <w:sz w:val="28"/>
          <w:szCs w:val="28"/>
        </w:rPr>
        <w:t>в связи с реализацией проекта.</w:t>
      </w:r>
    </w:p>
    <w:p>
      <w:pPr>
        <w:pStyle w:val="ConsPlusNormal"/>
        <w:ind w:left="0" w:right="0" w:firstLine="709"/>
        <w:jc w:val="both"/>
        <w:rPr/>
      </w:pPr>
      <w:r>
        <w:rPr>
          <w:sz w:val="28"/>
          <w:szCs w:val="28"/>
        </w:rPr>
        <w:t>40. Субсидия может быть перечислена на счет, открытый получателю субсидии в кредитной организации, если иное не установлено актами Правительства Российской Федерации или соглашением о предоставлении субсидии.</w:t>
      </w:r>
    </w:p>
    <w:p>
      <w:pPr>
        <w:pStyle w:val="ConsPlusNormal"/>
        <w:ind w:left="0" w:right="0" w:firstLine="709"/>
        <w:jc w:val="both"/>
        <w:rPr/>
      </w:pPr>
      <w:r>
        <w:rPr>
          <w:sz w:val="28"/>
          <w:szCs w:val="28"/>
        </w:rPr>
        <w:t>41. Результатом предоставления субсидии является количество объектов инфраструктуры, по которым осуществляется возмещение затрат в соответствии с настоящим Порядком.</w:t>
      </w:r>
    </w:p>
    <w:p>
      <w:pPr>
        <w:pStyle w:val="ConsPlusNormal"/>
        <w:ind w:left="0" w:right="0" w:firstLine="709"/>
        <w:jc w:val="both"/>
        <w:rPr>
          <w:sz w:val="28"/>
          <w:szCs w:val="28"/>
        </w:rPr>
      </w:pPr>
      <w:r>
        <w:rPr>
          <w:sz w:val="28"/>
          <w:szCs w:val="28"/>
        </w:rPr>
      </w:r>
    </w:p>
    <w:p>
      <w:pPr>
        <w:pStyle w:val="ConsPlusTitle"/>
        <w:ind w:left="0" w:right="0" w:firstLine="709"/>
        <w:jc w:val="center"/>
        <w:rPr/>
      </w:pPr>
      <w:r>
        <w:rPr>
          <w:rFonts w:cs="Times New Roman" w:ascii="Times New Roman" w:hAnsi="Times New Roman"/>
          <w:sz w:val="28"/>
          <w:szCs w:val="28"/>
        </w:rPr>
        <w:t>IV. Требования к отчетности</w:t>
      </w:r>
    </w:p>
    <w:p>
      <w:pPr>
        <w:pStyle w:val="ConsPlusNormal"/>
        <w:ind w:left="0" w:right="0" w:firstLine="709"/>
        <w:jc w:val="both"/>
        <w:rPr>
          <w:sz w:val="28"/>
          <w:szCs w:val="28"/>
        </w:rPr>
      </w:pPr>
      <w:r>
        <w:rPr>
          <w:sz w:val="28"/>
          <w:szCs w:val="28"/>
        </w:rPr>
      </w:r>
    </w:p>
    <w:p>
      <w:pPr>
        <w:pStyle w:val="ConsPlusNormal"/>
        <w:ind w:left="0" w:right="0" w:firstLine="709"/>
        <w:jc w:val="both"/>
        <w:rPr/>
      </w:pPr>
      <w:bookmarkStart w:id="13" w:name="Par408"/>
      <w:bookmarkEnd w:id="13"/>
      <w:r>
        <w:rPr>
          <w:sz w:val="28"/>
          <w:szCs w:val="28"/>
        </w:rPr>
        <w:t>42. Получатель субсидии обеспечивает представление отчетности в Уполномоченный орган в порядке, по формам и в сроки, которые устанавливаются в соглашении о предоставлении субсидии, включающей в себя отчеты о достижении значений результата предоставления субсидии.</w:t>
      </w:r>
    </w:p>
    <w:p>
      <w:pPr>
        <w:pStyle w:val="ConsPlusNormal"/>
        <w:ind w:left="0" w:right="0" w:firstLine="709"/>
        <w:jc w:val="both"/>
        <w:rPr/>
      </w:pPr>
      <w:r>
        <w:rPr>
          <w:sz w:val="28"/>
          <w:szCs w:val="28"/>
        </w:rPr>
        <w:t xml:space="preserve">43. В дополнение к отчетам, предусмотренным </w:t>
      </w:r>
      <w:hyperlink w:anchor="Par408" w:tgtFrame="39. Организация, реализующая проект, обеспечивает представление отчетности в Министерство экономического развития Российской Федерации в порядке, по формам и в сроки, которые устанавливаются Министерством в соглашении о предоставлении субсидии.">
        <w:r>
          <w:rPr>
            <w:sz w:val="28"/>
            <w:szCs w:val="28"/>
          </w:rPr>
          <w:t xml:space="preserve">пунктом </w:t>
        </w:r>
      </w:hyperlink>
      <w:r>
        <w:rPr>
          <w:sz w:val="28"/>
          <w:szCs w:val="28"/>
        </w:rPr>
        <w:t>42 настоящего Порядка, Уполномоченный орган вправе устанавливать в соглашении о предоставлении субсидии сроки и формы предоставления получателем субсидии дополнительной отчетности, в том числе содержащей:</w:t>
      </w:r>
    </w:p>
    <w:p>
      <w:pPr>
        <w:pStyle w:val="ConsPlusNormal"/>
        <w:ind w:left="0" w:right="0" w:firstLine="709"/>
        <w:jc w:val="both"/>
        <w:rPr/>
      </w:pPr>
      <w:r>
        <w:rPr>
          <w:sz w:val="28"/>
          <w:szCs w:val="28"/>
        </w:rPr>
        <w:t xml:space="preserve">информацию о суммах </w:t>
      </w:r>
      <w:r>
        <w:rPr>
          <w:b w:val="false"/>
          <w:sz w:val="28"/>
          <w:szCs w:val="28"/>
        </w:rPr>
        <w:t xml:space="preserve">обязательных платежей, исчисленных получателем субсидии для уплаты в бюджеты публично-правовых образований, каждое из которых является стороной соглашения о защите и поощрении капиталовложений, </w:t>
      </w:r>
      <w:r>
        <w:rPr>
          <w:sz w:val="28"/>
          <w:szCs w:val="28"/>
        </w:rPr>
        <w:t xml:space="preserve">и уплаченных </w:t>
      </w:r>
      <w:r>
        <w:rPr>
          <w:b w:val="false"/>
          <w:sz w:val="28"/>
          <w:szCs w:val="28"/>
        </w:rPr>
        <w:t>в связи с реализацией проекта,</w:t>
      </w:r>
      <w:r>
        <w:rPr>
          <w:sz w:val="28"/>
          <w:szCs w:val="28"/>
        </w:rPr>
        <w:t xml:space="preserve"> по формам и в сроки, которые устанавливаются в соглашении о предоставлении субсидии;</w:t>
      </w:r>
    </w:p>
    <w:p>
      <w:pPr>
        <w:pStyle w:val="ConsPlusNormal"/>
        <w:ind w:left="0" w:right="0" w:firstLine="709"/>
        <w:jc w:val="both"/>
        <w:rPr/>
      </w:pPr>
      <w:r>
        <w:rPr>
          <w:sz w:val="28"/>
          <w:szCs w:val="28"/>
        </w:rPr>
        <w:t>информацию об использовании (планировании использования) иных мер поддержки по проекту.</w:t>
      </w:r>
    </w:p>
    <w:p>
      <w:pPr>
        <w:pStyle w:val="ConsPlusNormal"/>
        <w:ind w:left="0" w:right="0" w:firstLine="709"/>
        <w:jc w:val="both"/>
        <w:rPr>
          <w:strike/>
          <w:sz w:val="28"/>
          <w:szCs w:val="28"/>
        </w:rPr>
      </w:pPr>
      <w:r>
        <w:rPr>
          <w:strike/>
          <w:sz w:val="28"/>
          <w:szCs w:val="28"/>
        </w:rPr>
      </w:r>
    </w:p>
    <w:p>
      <w:pPr>
        <w:pStyle w:val="ConsPlusTitle"/>
        <w:ind w:left="0" w:right="0" w:firstLine="709"/>
        <w:jc w:val="center"/>
        <w:rPr/>
      </w:pPr>
      <w:r>
        <w:rPr>
          <w:rFonts w:cs="Times New Roman" w:ascii="Times New Roman" w:hAnsi="Times New Roman"/>
          <w:sz w:val="28"/>
          <w:szCs w:val="28"/>
        </w:rPr>
        <w:t>V. Требования к осуществлению контроля (мониторинга) за соблюдением</w:t>
      </w:r>
    </w:p>
    <w:p>
      <w:pPr>
        <w:pStyle w:val="ConsPlusTitle"/>
        <w:ind w:left="0" w:right="0" w:firstLine="709"/>
        <w:jc w:val="center"/>
        <w:rPr/>
      </w:pPr>
      <w:r>
        <w:rPr>
          <w:rFonts w:cs="Times New Roman" w:ascii="Times New Roman" w:hAnsi="Times New Roman"/>
          <w:sz w:val="28"/>
          <w:szCs w:val="28"/>
        </w:rPr>
        <w:t xml:space="preserve">условий и порядка предоставления субсидии и ответственности </w:t>
      </w:r>
    </w:p>
    <w:p>
      <w:pPr>
        <w:pStyle w:val="ConsPlusTitle"/>
        <w:ind w:left="0" w:right="0" w:firstLine="709"/>
        <w:jc w:val="center"/>
        <w:rPr/>
      </w:pPr>
      <w:r>
        <w:rPr>
          <w:rFonts w:cs="Times New Roman" w:ascii="Times New Roman" w:hAnsi="Times New Roman"/>
          <w:sz w:val="28"/>
          <w:szCs w:val="28"/>
        </w:rPr>
        <w:t>за их нарушение</w:t>
      </w:r>
    </w:p>
    <w:p>
      <w:pPr>
        <w:pStyle w:val="ConsPlusNormal"/>
        <w:ind w:left="0" w:right="0" w:firstLine="709"/>
        <w:jc w:val="both"/>
        <w:rPr>
          <w:sz w:val="28"/>
          <w:szCs w:val="28"/>
        </w:rPr>
      </w:pPr>
      <w:r>
        <w:rPr>
          <w:sz w:val="28"/>
          <w:szCs w:val="28"/>
        </w:rPr>
      </w:r>
    </w:p>
    <w:p>
      <w:pPr>
        <w:pStyle w:val="ConsPlusNormal"/>
        <w:ind w:left="0" w:right="0" w:firstLine="709"/>
        <w:jc w:val="both"/>
        <w:rPr/>
      </w:pPr>
      <w:r>
        <w:rPr>
          <w:sz w:val="28"/>
          <w:szCs w:val="28"/>
        </w:rPr>
        <w:t xml:space="preserve">44. Уполномоченный орган </w:t>
      </w:r>
      <w:r>
        <w:rPr>
          <w:b w:val="false"/>
          <w:sz w:val="28"/>
          <w:szCs w:val="28"/>
        </w:rPr>
        <w:t>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 Органы государственного финансового контроля осуществляют проверку в соответствии со статьями 268</w:t>
      </w:r>
      <w:r>
        <w:rPr>
          <w:b w:val="false"/>
          <w:sz w:val="28"/>
          <w:szCs w:val="28"/>
          <w:vertAlign w:val="superscript"/>
        </w:rPr>
        <w:t>1</w:t>
      </w:r>
      <w:r>
        <w:rPr>
          <w:b w:val="false"/>
          <w:sz w:val="28"/>
          <w:szCs w:val="28"/>
        </w:rPr>
        <w:t xml:space="preserve"> и 269</w:t>
      </w:r>
      <w:r>
        <w:rPr>
          <w:b w:val="false"/>
          <w:sz w:val="28"/>
          <w:szCs w:val="28"/>
          <w:vertAlign w:val="superscript"/>
        </w:rPr>
        <w:t xml:space="preserve">2 </w:t>
      </w:r>
      <w:r>
        <w:rPr>
          <w:b w:val="false"/>
          <w:sz w:val="28"/>
          <w:szCs w:val="28"/>
        </w:rPr>
        <w:t>Бюджетного кодекса Российской Федерации.</w:t>
      </w:r>
    </w:p>
    <w:p>
      <w:pPr>
        <w:pStyle w:val="ConsPlusNormal"/>
        <w:ind w:left="0" w:right="0" w:firstLine="709"/>
        <w:jc w:val="both"/>
        <w:rPr/>
      </w:pPr>
      <w:r>
        <w:rPr>
          <w:sz w:val="28"/>
          <w:szCs w:val="28"/>
        </w:rPr>
        <w:t>45.</w:t>
      </w:r>
      <w:r>
        <w:rPr>
          <w:b w:val="false"/>
          <w:sz w:val="28"/>
          <w:szCs w:val="28"/>
        </w:rPr>
        <w:t xml:space="preserve"> В случае установления нарушения получателем субсидии условий, установленных при предоставлении субсидии, выявленного в том числе по фактам проверок, проведенных Уполномоченным органом, органами государственного финансового контроля, а также в случае недостижения значения результата предоставления субсидии, субсидия подлежит возврату в бюджет Республики Татарстан в 15-дневный срок, исчисленный в рабочих днях, со дня получения соответствующего требования.</w:t>
      </w:r>
    </w:p>
    <w:p>
      <w:pPr>
        <w:pStyle w:val="ConsPlusNormal"/>
        <w:ind w:left="0" w:right="0" w:firstLine="709"/>
        <w:jc w:val="both"/>
        <w:rPr/>
      </w:pPr>
      <w:r>
        <w:rPr>
          <w:sz w:val="28"/>
          <w:szCs w:val="28"/>
        </w:rPr>
        <w:t>46. В случае если требование об устранении нарушения не выполнено в установленный срок либо нарушение носит неустранимый характер, Уполномоченный орган выдает получателю субсидии  требование о возврате денежных средств в размере субсидии, использованной с нарушением.</w:t>
      </w:r>
    </w:p>
    <w:p>
      <w:pPr>
        <w:pStyle w:val="ConsPlusNormal"/>
        <w:ind w:left="0" w:right="0" w:firstLine="709"/>
        <w:jc w:val="both"/>
        <w:rPr/>
      </w:pPr>
      <w:r>
        <w:rPr>
          <w:sz w:val="28"/>
          <w:szCs w:val="28"/>
        </w:rPr>
        <w:t>Получатель субсидии обязан возвратить в течение 20 рабочих дней со дня получения требования о возврате денежных средств в бюджет Республики Татарстан денежные средства в размере субсидии, использованной с нарушениями.</w:t>
      </w:r>
    </w:p>
    <w:p>
      <w:pPr>
        <w:pStyle w:val="ConsPlusNormal"/>
        <w:ind w:left="0" w:right="0" w:firstLine="709"/>
        <w:jc w:val="both"/>
        <w:rPr/>
      </w:pPr>
      <w:r>
        <w:rPr>
          <w:sz w:val="28"/>
          <w:szCs w:val="28"/>
        </w:rPr>
        <w:t>47. В случае неисполнения получателем субсидии требования о возврате денежных средств со счетов, открытых получателю субсидии в кредитных организациях, с которыми получатель субсидии обязан заключить договоры банковского счета, может осуществляться бесспорное списание средств в размере, не превышающем размера субсидии, использованной с нарушениями.</w:t>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01"/>
    <w:family w:val="roman"/>
    <w:pitch w:val="default"/>
  </w:font>
  <w:font w:name="Times New Roman">
    <w:charset w:val="01"/>
    <w:family w:val="roman"/>
    <w:pitch w:val="default"/>
  </w:font>
  <w:font w:name="Segoe UI">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sz w:val="28"/>
        <w:szCs w:val="28"/>
        <w:rFonts w:ascii="Times New Roman" w:hAnsi="Times New Roman"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Mang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52" w:before="0" w:after="16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character" w:styleId="Style14">
    <w:name w:val="Верхний колонтитул Знак"/>
    <w:basedOn w:val="DefaultParagraphFont"/>
    <w:qFormat/>
    <w:rPr>
      <w:rFonts w:ascii="Times New Roman" w:hAnsi="Times New Roman" w:eastAsia="Times New Roman"/>
      <w:color w:val="000000"/>
      <w:sz w:val="24"/>
      <w:szCs w:val="24"/>
    </w:rPr>
  </w:style>
  <w:style w:type="character" w:styleId="Style15">
    <w:name w:val="Нижний колонтитул Знак"/>
    <w:basedOn w:val="DefaultParagraphFont"/>
    <w:qFormat/>
    <w:rPr>
      <w:rFonts w:ascii="Times New Roman" w:hAnsi="Times New Roman" w:eastAsia="Times New Roman"/>
      <w:color w:val="000000"/>
      <w:sz w:val="24"/>
      <w:szCs w:val="24"/>
    </w:rPr>
  </w:style>
  <w:style w:type="character" w:styleId="Style16">
    <w:name w:val="Текст выноски Знак"/>
    <w:basedOn w:val="DefaultParagraphFont"/>
    <w:qFormat/>
    <w:rPr>
      <w:rFonts w:ascii="Segoe UI" w:hAnsi="Segoe UI" w:eastAsia="Times New Roman" w:cs="Segoe UI"/>
      <w:color w:val="000000"/>
      <w:sz w:val="18"/>
      <w:szCs w:val="18"/>
    </w:rPr>
  </w:style>
  <w:style w:type="character" w:styleId="-">
    <w:name w:val="Hyperlink"/>
    <w:rPr>
      <w:color w:val="000080"/>
      <w:u w:val="single"/>
    </w:rPr>
  </w:style>
  <w:style w:type="paragraph" w:styleId="Style17">
    <w:name w:val="Заголовок"/>
    <w:basedOn w:val="Normal"/>
    <w:next w:val="Style18"/>
    <w:qFormat/>
    <w:pPr>
      <w:keepNext w:val="true"/>
      <w:spacing w:before="240" w:after="120"/>
    </w:pPr>
    <w:rPr>
      <w:rFonts w:ascii="PT Astra Serif" w:hAnsi="PT Astra Serif" w:eastAsia="Microsoft YaHei" w:cs="Mangal"/>
      <w:sz w:val="28"/>
      <w:szCs w:val="28"/>
    </w:rPr>
  </w:style>
  <w:style w:type="paragraph" w:styleId="Style18">
    <w:name w:val="Body Text"/>
    <w:basedOn w:val="Normal"/>
    <w:pPr>
      <w:spacing w:lineRule="exact" w:line="276" w:before="0" w:after="140"/>
    </w:pPr>
    <w:rPr/>
  </w:style>
  <w:style w:type="paragraph" w:styleId="Style19">
    <w:name w:val="List"/>
    <w:basedOn w:val="Style18"/>
    <w:pPr>
      <w:spacing w:lineRule="exact" w:line="276" w:before="0" w:after="140"/>
    </w:pPr>
    <w:rPr>
      <w:rFonts w:ascii="PT Astra Serif" w:hAnsi="PT Astra Serif" w:cs="Mangal"/>
    </w:rPr>
  </w:style>
  <w:style w:type="paragraph" w:styleId="Style20">
    <w:name w:val="Caption"/>
    <w:basedOn w:val="Normal"/>
    <w:qFormat/>
    <w:pPr>
      <w:spacing w:before="120" w:after="120"/>
    </w:pPr>
    <w:rPr>
      <w:rFonts w:ascii="PT Astra Serif" w:hAnsi="PT Astra Serif" w:cs="Mangal"/>
      <w:i/>
      <w:iCs/>
      <w:sz w:val="24"/>
      <w:szCs w:val="24"/>
    </w:rPr>
  </w:style>
  <w:style w:type="paragraph" w:styleId="Style21">
    <w:name w:val="Указатель"/>
    <w:basedOn w:val="Normal"/>
    <w:qFormat/>
    <w:pPr/>
    <w:rPr>
      <w:rFonts w:ascii="PT Astra Serif" w:hAnsi="PT Astra Serif" w:cs="Mangal"/>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Times New Roman" w:cs="Times New Roman"/>
      <w:color w:val="auto"/>
      <w:kern w:val="2"/>
      <w:sz w:val="22"/>
      <w:szCs w:val="22"/>
      <w:lang w:val="ru-RU" w:eastAsia="ru-RU" w:bidi="ar-SA"/>
    </w:rPr>
  </w:style>
  <w:style w:type="paragraph" w:styleId="ConsPlusNormal">
    <w:name w:val="ConsPlusNormal"/>
    <w:qFormat/>
    <w:pPr>
      <w:widowControl w:val="false"/>
      <w:suppressAutoHyphens w:val="true"/>
      <w:bidi w:val="0"/>
      <w:spacing w:before="0" w:after="0"/>
      <w:jc w:val="left"/>
      <w:textAlignment w:val="auto"/>
    </w:pPr>
    <w:rPr>
      <w:rFonts w:ascii="Times New Roman" w:hAnsi="Times New Roman" w:eastAsia="Times New Roman" w:cs="Times New Roman"/>
      <w:color w:val="auto"/>
      <w:kern w:val="2"/>
      <w:sz w:val="24"/>
      <w:szCs w:val="24"/>
      <w:lang w:val="ru-RU" w:eastAsia="ru-RU" w:bidi="ar-SA"/>
    </w:rPr>
  </w:style>
  <w:style w:type="paragraph" w:styleId="ConsPlusNonformat">
    <w:name w:val="ConsPlusNonformat"/>
    <w:qFormat/>
    <w:pPr>
      <w:widowControl w:val="false"/>
      <w:suppressAutoHyphens w:val="true"/>
      <w:bidi w:val="0"/>
      <w:spacing w:before="0" w:after="0"/>
      <w:jc w:val="left"/>
      <w:textAlignment w:val="auto"/>
    </w:pPr>
    <w:rPr>
      <w:rFonts w:ascii="Courier New" w:hAnsi="Courier New" w:eastAsia="Times New Roman" w:cs="Courier New"/>
      <w:color w:val="auto"/>
      <w:kern w:val="2"/>
      <w:sz w:val="20"/>
      <w:szCs w:val="20"/>
      <w:lang w:val="ru-RU" w:eastAsia="ru-RU" w:bidi="ar-SA"/>
    </w:rPr>
  </w:style>
  <w:style w:type="paragraph" w:styleId="ConsPlusTitle">
    <w:name w:val="ConsPlusTitle"/>
    <w:qFormat/>
    <w:pPr>
      <w:widowControl w:val="false"/>
      <w:suppressAutoHyphens w:val="true"/>
      <w:bidi w:val="0"/>
      <w:spacing w:before="0" w:after="0"/>
      <w:jc w:val="left"/>
      <w:textAlignment w:val="auto"/>
    </w:pPr>
    <w:rPr>
      <w:rFonts w:ascii="Arial" w:hAnsi="Arial" w:eastAsia="Times New Roman" w:cs="Arial"/>
      <w:b/>
      <w:bCs/>
      <w:color w:val="auto"/>
      <w:kern w:val="2"/>
      <w:sz w:val="24"/>
      <w:szCs w:val="24"/>
      <w:lang w:val="ru-RU" w:eastAsia="ru-RU" w:bidi="ar-SA"/>
    </w:rPr>
  </w:style>
  <w:style w:type="paragraph" w:styleId="ConsPlusCell">
    <w:name w:val="ConsPlusCell"/>
    <w:qFormat/>
    <w:pPr>
      <w:widowControl w:val="false"/>
      <w:suppressAutoHyphens w:val="true"/>
      <w:bidi w:val="0"/>
      <w:spacing w:before="0" w:after="0"/>
      <w:jc w:val="left"/>
      <w:textAlignment w:val="auto"/>
    </w:pPr>
    <w:rPr>
      <w:rFonts w:ascii="Courier New" w:hAnsi="Courier New" w:eastAsia="Times New Roman" w:cs="Courier New"/>
      <w:color w:val="auto"/>
      <w:kern w:val="2"/>
      <w:sz w:val="20"/>
      <w:szCs w:val="20"/>
      <w:lang w:val="ru-RU" w:eastAsia="ru-RU" w:bidi="ar-SA"/>
    </w:rPr>
  </w:style>
  <w:style w:type="paragraph" w:styleId="ConsPlusDocList">
    <w:name w:val="ConsPlusDocList"/>
    <w:qFormat/>
    <w:pPr>
      <w:widowControl w:val="false"/>
      <w:suppressAutoHyphens w:val="true"/>
      <w:bidi w:val="0"/>
      <w:spacing w:before="0" w:after="0"/>
      <w:jc w:val="left"/>
      <w:textAlignment w:val="auto"/>
    </w:pPr>
    <w:rPr>
      <w:rFonts w:ascii="Tahoma" w:hAnsi="Tahoma" w:eastAsia="Times New Roman" w:cs="Tahoma"/>
      <w:color w:val="auto"/>
      <w:kern w:val="2"/>
      <w:sz w:val="18"/>
      <w:szCs w:val="18"/>
      <w:lang w:val="ru-RU" w:eastAsia="ru-RU" w:bidi="ar-SA"/>
    </w:rPr>
  </w:style>
  <w:style w:type="paragraph" w:styleId="ConsPlusTitlePage">
    <w:name w:val="ConsPlusTitlePage"/>
    <w:qFormat/>
    <w:pPr>
      <w:widowControl w:val="false"/>
      <w:suppressAutoHyphens w:val="true"/>
      <w:bidi w:val="0"/>
      <w:spacing w:before="0" w:after="0"/>
      <w:jc w:val="left"/>
      <w:textAlignment w:val="auto"/>
    </w:pPr>
    <w:rPr>
      <w:rFonts w:ascii="Tahoma" w:hAnsi="Tahoma" w:eastAsia="Times New Roman" w:cs="Tahoma"/>
      <w:color w:val="auto"/>
      <w:kern w:val="2"/>
      <w:sz w:val="24"/>
      <w:szCs w:val="24"/>
      <w:lang w:val="ru-RU" w:eastAsia="ru-RU" w:bidi="ar-SA"/>
    </w:rPr>
  </w:style>
  <w:style w:type="paragraph" w:styleId="ConsPlusJurTerm">
    <w:name w:val="ConsPlusJurTerm"/>
    <w:qFormat/>
    <w:pPr>
      <w:widowControl w:val="false"/>
      <w:suppressAutoHyphens w:val="true"/>
      <w:bidi w:val="0"/>
      <w:spacing w:before="0" w:after="0"/>
      <w:jc w:val="left"/>
      <w:textAlignment w:val="auto"/>
    </w:pPr>
    <w:rPr>
      <w:rFonts w:ascii="Times New Roman" w:hAnsi="Times New Roman" w:eastAsia="Times New Roman" w:cs="Times New Roman"/>
      <w:color w:val="auto"/>
      <w:kern w:val="2"/>
      <w:sz w:val="24"/>
      <w:szCs w:val="24"/>
      <w:lang w:val="ru-RU" w:eastAsia="ru-RU" w:bidi="ar-SA"/>
    </w:rPr>
  </w:style>
  <w:style w:type="paragraph" w:styleId="ConsPlusTextList">
    <w:name w:val="ConsPlusTextList"/>
    <w:qFormat/>
    <w:pPr>
      <w:widowControl w:val="false"/>
      <w:suppressAutoHyphens w:val="true"/>
      <w:bidi w:val="0"/>
      <w:spacing w:before="0" w:after="0"/>
      <w:jc w:val="left"/>
      <w:textAlignment w:val="auto"/>
    </w:pPr>
    <w:rPr>
      <w:rFonts w:ascii="Times New Roman" w:hAnsi="Times New Roman" w:eastAsia="Times New Roman" w:cs="Times New Roman"/>
      <w:color w:val="auto"/>
      <w:kern w:val="2"/>
      <w:sz w:val="24"/>
      <w:szCs w:val="24"/>
      <w:lang w:val="ru-RU" w:eastAsia="ru-RU" w:bidi="ar-SA"/>
    </w:rPr>
  </w:style>
  <w:style w:type="paragraph" w:styleId="ConsPlusTextList1">
    <w:name w:val="ConsPlusTextList1"/>
    <w:qFormat/>
    <w:pPr>
      <w:widowControl w:val="false"/>
      <w:suppressAutoHyphens w:val="true"/>
      <w:bidi w:val="0"/>
      <w:spacing w:before="0" w:after="0"/>
      <w:jc w:val="left"/>
      <w:textAlignment w:val="auto"/>
    </w:pPr>
    <w:rPr>
      <w:rFonts w:ascii="Times New Roman" w:hAnsi="Times New Roman" w:eastAsia="Times New Roman" w:cs="Times New Roman"/>
      <w:color w:val="auto"/>
      <w:kern w:val="2"/>
      <w:sz w:val="24"/>
      <w:szCs w:val="24"/>
      <w:lang w:val="ru-RU" w:eastAsia="ru-RU" w:bidi="ar-SA"/>
    </w:rPr>
  </w:style>
  <w:style w:type="paragraph" w:styleId="Style22">
    <w:name w:val="Колонтитул"/>
    <w:basedOn w:val="Normal"/>
    <w:qFormat/>
    <w:pPr/>
    <w:rPr/>
  </w:style>
  <w:style w:type="paragraph" w:styleId="Style23">
    <w:name w:val="Header"/>
    <w:basedOn w:val="Normal"/>
    <w:pPr>
      <w:tabs>
        <w:tab w:val="clear" w:pos="720"/>
        <w:tab w:val="center" w:pos="4677" w:leader="none"/>
        <w:tab w:val="right" w:pos="9355" w:leader="none"/>
      </w:tabs>
    </w:pPr>
    <w:rPr/>
  </w:style>
  <w:style w:type="paragraph" w:styleId="Style24">
    <w:name w:val="Footer"/>
    <w:basedOn w:val="Normal"/>
    <w:pPr>
      <w:tabs>
        <w:tab w:val="clear" w:pos="720"/>
        <w:tab w:val="center" w:pos="4677" w:leader="none"/>
        <w:tab w:val="right" w:pos="9355" w:leader="none"/>
      </w:tabs>
    </w:pPr>
    <w:rPr/>
  </w:style>
  <w:style w:type="paragraph" w:styleId="BalloonText">
    <w:name w:val="Balloon Text"/>
    <w:basedOn w:val="Normal"/>
    <w:qFormat/>
    <w:pPr>
      <w:spacing w:lineRule="exact" w:line="240" w:before="0" w:after="0"/>
    </w:pPr>
    <w:rPr>
      <w:rFonts w:ascii="Segoe UI" w:hAnsi="Segoe UI" w:cs="Segoe UI"/>
      <w:sz w:val="18"/>
      <w:szCs w:val="18"/>
    </w:rPr>
  </w:style>
  <w:style w:type="paragraph" w:styleId="ListParagraph">
    <w:name w:val="List Paragraph"/>
    <w:basedOn w:val="Normal"/>
    <w:qFormat/>
    <w:pPr>
      <w:spacing w:lineRule="atLeast" w:line="360" w:before="0" w:after="0"/>
      <w:ind w:left="720" w:hanging="0"/>
      <w:contextualSpacing/>
      <w:jc w:val="both"/>
    </w:pPr>
    <w:rPr>
      <w:rFonts w:ascii="Times New Roman" w:hAnsi="Times New Roman"/>
      <w:sz w:val="28"/>
      <w:szCs w:val="20"/>
    </w:rPr>
  </w:style>
  <w:style w:type="paragraph" w:styleId="Style25">
    <w:name w:val="Содержимое таблицы"/>
    <w:basedOn w:val="Normal"/>
    <w:qFormat/>
    <w:pPr>
      <w:widowControl w:val="false"/>
    </w:pPr>
    <w:rPr/>
  </w:style>
  <w:style w:type="paragraph" w:styleId="Style26">
    <w:name w:val="Заголовок таблицы"/>
    <w:basedOn w:val="Style25"/>
    <w:qFormat/>
    <w:pPr>
      <w:widowControl w:val="false"/>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17955&amp;date=09.12.2022&amp;dst=100041&amp;field=134" TargetMode="External"/><Relationship Id="rId3" Type="http://schemas.openxmlformats.org/officeDocument/2006/relationships/hyperlink" Target="https://login.consultant.ru/link/?req=doc&amp;base=LAW&amp;n=363122&amp;date=09.12.2022&amp;dst=100006&amp;field=134" TargetMode="External"/><Relationship Id="rId4" Type="http://schemas.openxmlformats.org/officeDocument/2006/relationships/hyperlink" Target="https://login.consultant.ru/link/?req=doc&amp;base=LAW&amp;n=431969&amp;date=09.12.2022&amp;dst=100655&amp;field=134" TargetMode="External"/><Relationship Id="rId5" Type="http://schemas.openxmlformats.org/officeDocument/2006/relationships/hyperlink" Target="https://login.consultant.ru/link/?req=doc&amp;base=LAW&amp;n=431969&amp;date=09.12.2022&amp;dst=100661&amp;field=134" TargetMode="External"/><Relationship Id="rId6" Type="http://schemas.openxmlformats.org/officeDocument/2006/relationships/hyperlink" Target="https://login.consultant.ru/link/?req=doc&amp;base=LAW&amp;n=373340&amp;date=09.12.2022&amp;dst=100010&amp;field=134" TargetMode="External"/><Relationship Id="rId7" Type="http://schemas.openxmlformats.org/officeDocument/2006/relationships/hyperlink" Target="https://login.consultant.ru/link/?req=doc&amp;base=LAW&amp;n=373340&amp;date=09.12.2022&amp;dst=100256&amp;field=134" TargetMode="External"/><Relationship Id="rId8" Type="http://schemas.openxmlformats.org/officeDocument/2006/relationships/hyperlink" Target="https://login.consultant.ru/link/?req=doc&amp;base=LAW&amp;n=431969&amp;date=09.12.2022&amp;dst=100470&amp;field=134" TargetMode="External"/><Relationship Id="rId9" Type="http://schemas.openxmlformats.org/officeDocument/2006/relationships/hyperlink" Target="https://login.consultant.ru/link/?req=doc&amp;base=LAW&amp;n=373340&amp;date=09.12.2022&amp;dst=100010&amp;field=134" TargetMode="External"/><Relationship Id="rId10" Type="http://schemas.openxmlformats.org/officeDocument/2006/relationships/hyperlink" Target="https://login.consultant.ru/link/?req=doc&amp;base=LAW&amp;n=431969&amp;date=09.12.2022&amp;dst=100759&amp;field=134" TargetMode="External"/><Relationship Id="rId11" Type="http://schemas.openxmlformats.org/officeDocument/2006/relationships/hyperlink" Target="https://login.consultant.ru/link/?req=doc&amp;base=LAW&amp;n=431969&amp;date=09.12.2022&amp;dst=100333&amp;field=134" TargetMode="External"/><Relationship Id="rId12" Type="http://schemas.openxmlformats.org/officeDocument/2006/relationships/hyperlink" Target="https://login.consultant.ru/link/?req=doc&amp;base=LAW&amp;n=415510&amp;date=09.12.2022&amp;dst=100019&amp;field=134" TargetMode="External"/><Relationship Id="rId13" Type="http://schemas.openxmlformats.org/officeDocument/2006/relationships/hyperlink" Target="https://login.consultant.ru/link/?req=doc&amp;base=LAW&amp;n=431969&amp;date=09.12.2022&amp;dst=100799&amp;field=134" TargetMode="External"/><Relationship Id="rId14" Type="http://schemas.openxmlformats.org/officeDocument/2006/relationships/hyperlink" Target="https://login.consultant.ru/link/?req=doc&amp;base=LAW&amp;n=433702&amp;dst=100249&amp;field=134&amp;date=21.12.2022" TargetMode="External"/><Relationship Id="rId15" Type="http://schemas.openxmlformats.org/officeDocument/2006/relationships/hyperlink" Target="https://login.consultant.ru/link/?req=doc&amp;base=LAW&amp;n=487024&amp;date=03.12.2024" TargetMode="External"/><Relationship Id="rId16" Type="http://schemas.openxmlformats.org/officeDocument/2006/relationships/hyperlink" Target="https://login.consultant.ru/link/?req=doc&amp;base=LAW&amp;n=202197&amp;date=09.12.2022" TargetMode="External"/><Relationship Id="rId17" Type="http://schemas.openxmlformats.org/officeDocument/2006/relationships/hyperlink" Target="https://login.consultant.ru/link/?req=doc&amp;base=LAW&amp;n=202197&amp;date=09.12.2022" TargetMode="External"/><Relationship Id="rId18" Type="http://schemas.openxmlformats.org/officeDocument/2006/relationships/hyperlink" Target="https://login.consultant.ru/link/?req=doc&amp;base=LAW&amp;n=202197&amp;date=09.12.2022" TargetMode="External"/><Relationship Id="rId19" Type="http://schemas.openxmlformats.org/officeDocument/2006/relationships/hyperlink" Target="https://login.consultant.ru/link/?req=doc&amp;base=LAW&amp;n=492071&amp;date=16.01.2025&amp;dst=100787&amp;field=134" TargetMode="External"/><Relationship Id="rId20" Type="http://schemas.openxmlformats.org/officeDocument/2006/relationships/hyperlink" Target="https://login.consultant.ru/link/?req=doc&amp;base=LAW&amp;n=492071&amp;date=16.01.2025&amp;dst=100643&amp;field=134" TargetMode="External"/><Relationship Id="rId21" Type="http://schemas.openxmlformats.org/officeDocument/2006/relationships/hyperlink" Target="https://login.consultant.ru/link/?req=doc&amp;base=LAW&amp;n=431969&amp;date=09.12.2022&amp;dst=100655&amp;field=134" TargetMode="External"/><Relationship Id="rId22" Type="http://schemas.openxmlformats.org/officeDocument/2006/relationships/hyperlink" Target="https://login.consultant.ru/link/?req=doc&amp;base=LAW&amp;n=431969&amp;date=09.12.2022&amp;dst=100661&amp;field=134" TargetMode="External"/><Relationship Id="rId23" Type="http://schemas.openxmlformats.org/officeDocument/2006/relationships/hyperlink" Target="https://login.consultant.ru/link/?req=doc&amp;base=LAW&amp;n=431969&amp;date=09.12.2022&amp;dst=100694&amp;field=134" TargetMode="External"/><Relationship Id="rId24" Type="http://schemas.openxmlformats.org/officeDocument/2006/relationships/hyperlink" Target="https://login.consultant.ru/link/?req=doc&amp;base=LAW&amp;n=431969&amp;date=09.12.2022&amp;dst=100692&amp;field=134" TargetMode="External"/><Relationship Id="rId25" Type="http://schemas.openxmlformats.org/officeDocument/2006/relationships/hyperlink" Target="https://login.consultant.ru/link/?req=doc&amp;base=LAW&amp;n=431969&amp;date=09.12.2022&amp;dst=100694&amp;field=134" TargetMode="External"/><Relationship Id="rId26" Type="http://schemas.openxmlformats.org/officeDocument/2006/relationships/hyperlink" Target="https://login.consultant.ru/link/?req=doc&amp;base=LAW&amp;n=434751&amp;dst=3300&amp;field=134&amp;date=21.12.2022" TargetMode="External"/><Relationship Id="rId27" Type="http://schemas.openxmlformats.org/officeDocument/2006/relationships/hyperlink" Target="https://login.consultant.ru/link/?req=doc&amp;base=LAW&amp;n=431969&amp;dst=100787&amp;field=134&amp;date=21.12.2022" TargetMode="External"/><Relationship Id="rId28" Type="http://schemas.openxmlformats.org/officeDocument/2006/relationships/hyperlink" Target="https://login.consultant.ru/link/?req=doc&amp;base=LAW&amp;n=431969&amp;dst=100787&amp;field=134&amp;date=21.12.2022" TargetMode="External"/><Relationship Id="rId29" Type="http://schemas.openxmlformats.org/officeDocument/2006/relationships/hyperlink" Target="https://login.consultant.ru/link/?req=doc&amp;base=LAW&amp;n=431888&amp;date=09.12.2022&amp;dst=4782&amp;field=134" TargetMode="External"/><Relationship Id="rId30" Type="http://schemas.openxmlformats.org/officeDocument/2006/relationships/hyperlink" Target="https://login.consultant.ru/link/?req=doc&amp;base=LAW&amp;n=431969&amp;date=09.12.2022&amp;dst=100662&amp;field=134" TargetMode="External"/><Relationship Id="rId31" Type="http://schemas.openxmlformats.org/officeDocument/2006/relationships/hyperlink" Target="https://login.consultant.ru/link/?req=doc&amp;base=LAW&amp;n=431969&amp;date=09.12.2022&amp;dst=100685&amp;field=134" TargetMode="External"/><Relationship Id="rId32" Type="http://schemas.openxmlformats.org/officeDocument/2006/relationships/hyperlink" Target="https://login.consultant.ru/link/?req=doc&amp;base=LAW&amp;n=431969&amp;date=09.12.2022&amp;dst=100694&amp;field=134" TargetMode="External"/><Relationship Id="rId33" Type="http://schemas.openxmlformats.org/officeDocument/2006/relationships/hyperlink" Target="https://login.consultant.ru/link/?req=doc&amp;base=LAW&amp;n=417951&amp;date=09.12.2022&amp;dst=3300&amp;field=134" TargetMode="External"/><Relationship Id="rId34" Type="http://schemas.openxmlformats.org/officeDocument/2006/relationships/hyperlink" Target="https://login.consultant.ru/link/?req=doc&amp;base=LAW&amp;n=433702&amp;dst=100249&amp;field=134&amp;date=21.12.2022" TargetMode="External"/><Relationship Id="rId35" Type="http://schemas.openxmlformats.org/officeDocument/2006/relationships/hyperlink" Target="https://login.consultant.ru/link/?req=doc&amp;base=LAW&amp;n=431969&amp;date=09.12.2022&amp;dst=100694&amp;field=134" TargetMode="External"/><Relationship Id="rId36" Type="http://schemas.openxmlformats.org/officeDocument/2006/relationships/hyperlink" Target="https://login.consultant.ru/link/?req=doc&amp;base=LAW&amp;n=431969&amp;date=09.12.2022&amp;dst=100694&amp;field=134" TargetMode="External"/><Relationship Id="rId37" Type="http://schemas.openxmlformats.org/officeDocument/2006/relationships/hyperlink" Target="https://login.consultant.ru/link/?req=doc&amp;base=LAW&amp;n=417951&amp;date=09.12.2022&amp;dst=3567&amp;field=134" TargetMode="External"/><Relationship Id="rId38" Type="http://schemas.openxmlformats.org/officeDocument/2006/relationships/hyperlink" Target="https://login.consultant.ru/link/?req=doc&amp;base=LAW&amp;n=431969&amp;date=09.12.2022&amp;dst=100694&amp;field=134" TargetMode="External"/><Relationship Id="rId39" Type="http://schemas.openxmlformats.org/officeDocument/2006/relationships/hyperlink" Target="https://login.consultant.ru/link/?req=doc&amp;base=LAW&amp;n=417951&amp;date=09.12.2022&amp;dst=3300&amp;field=134" TargetMode="External"/><Relationship Id="rId40" Type="http://schemas.openxmlformats.org/officeDocument/2006/relationships/hyperlink" Target="https://login.consultant.ru/link/?req=doc&amp;base=LAW&amp;n=433702&amp;dst=100249&amp;field=134&amp;date=21.12.2022" TargetMode="External"/><Relationship Id="rId41" Type="http://schemas.openxmlformats.org/officeDocument/2006/relationships/hyperlink" Target="https://login.consultant.ru/link/?req=doc&amp;base=LAW&amp;n=431969&amp;date=09.12.2022&amp;dst=100692&amp;field=134" TargetMode="External"/><Relationship Id="rId42" Type="http://schemas.openxmlformats.org/officeDocument/2006/relationships/hyperlink" Target="https://login.consultant.ru/link/?req=doc&amp;base=LAW&amp;n=431969&amp;date=09.12.2022&amp;dst=100694&amp;field=134" TargetMode="External"/><Relationship Id="rId43" Type="http://schemas.openxmlformats.org/officeDocument/2006/relationships/hyperlink" Target="https://login.consultant.ru/link/?req=doc&amp;base=LAW&amp;n=487024&amp;date=03.12.2024" TargetMode="External"/><Relationship Id="rId44" Type="http://schemas.openxmlformats.org/officeDocument/2006/relationships/hyperlink" Target="https://login.consultant.ru/link/?req=doc&amp;base=LAW&amp;n=487024&amp;date=03.12.2024" TargetMode="Externa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28</Pages>
  <Words>8808</Words>
  <Characters>67076</Characters>
  <CharactersWithSpaces>75695</CharactersWithSpaces>
  <Paragraphs>227</Paragraphs>
  <Company>КонсультантПлюс Версия 4022.00.09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2024-03-12T09:04:00Z</dcterms:created>
  <dc:creator>Тихонова Елена Вячеславовна</dc:creator>
  <dc:description/>
  <dc:language>ru-RU</dc:language>
  <cp:lastModifiedBy/>
  <dcterms:modified xsi:type="dcterms:W3CDTF">2025-01-16T19:05:00Z</dcterms:modified>
  <cp:revision>0</cp:revision>
  <dc:subject/>
  <dc:title>Постановление Правительства РФ от 03.10.2020 N 1599(ред. от 05.12.2022)"О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Тихонова Елена Вячеславовна</vt:lpwstr>
  </property>
</Properties>
</file>