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E0" w:rsidRPr="00CE42DA" w:rsidRDefault="008437E0" w:rsidP="00451EE7">
      <w:pPr>
        <w:pStyle w:val="ConsPlusTitlePage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8437E0" w:rsidRPr="00CE42DA" w:rsidRDefault="008437E0" w:rsidP="00451EE7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:rsidR="008437E0" w:rsidRPr="00CE42DA" w:rsidRDefault="008437E0" w:rsidP="00451EE7">
      <w:pPr>
        <w:pStyle w:val="ConsPlusTitlePage"/>
        <w:spacing w:line="26" w:lineRule="atLeast"/>
      </w:pPr>
    </w:p>
    <w:p w:rsidR="008437E0" w:rsidRPr="00CE42DA" w:rsidRDefault="008437E0" w:rsidP="00451EE7">
      <w:pPr>
        <w:pStyle w:val="ConsPlusNormal"/>
        <w:spacing w:line="26" w:lineRule="atLeast"/>
        <w:jc w:val="both"/>
        <w:outlineLvl w:val="0"/>
      </w:pPr>
    </w:p>
    <w:p w:rsidR="008437E0" w:rsidRPr="001001D5" w:rsidRDefault="00087B39" w:rsidP="00BA2B66">
      <w:pPr>
        <w:tabs>
          <w:tab w:val="left" w:pos="5103"/>
          <w:tab w:val="left" w:pos="6946"/>
        </w:tabs>
        <w:spacing w:after="0" w:line="26" w:lineRule="atLeas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87B39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23.04.2019 № 33</w:t>
      </w:r>
      <w:r w:rsidR="002D7E7A">
        <w:rPr>
          <w:rFonts w:ascii="Times New Roman" w:hAnsi="Times New Roman" w:cs="Times New Roman"/>
          <w:sz w:val="28"/>
          <w:szCs w:val="28"/>
        </w:rPr>
        <w:t>2</w:t>
      </w:r>
      <w:r w:rsidRPr="00087B3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D7E7A">
        <w:rPr>
          <w:rFonts w:ascii="Times New Roman" w:hAnsi="Times New Roman" w:cs="Times New Roman"/>
          <w:sz w:val="28"/>
          <w:szCs w:val="28"/>
        </w:rPr>
        <w:t>Порядка</w:t>
      </w:r>
      <w:r w:rsidRPr="00087B3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D7E7A">
        <w:rPr>
          <w:rFonts w:ascii="Times New Roman" w:hAnsi="Times New Roman" w:cs="Times New Roman"/>
          <w:sz w:val="28"/>
          <w:szCs w:val="28"/>
        </w:rPr>
        <w:t>я</w:t>
      </w:r>
      <w:r w:rsidRPr="00087B39">
        <w:rPr>
          <w:rFonts w:ascii="Times New Roman" w:hAnsi="Times New Roman" w:cs="Times New Roman"/>
          <w:sz w:val="28"/>
          <w:szCs w:val="28"/>
        </w:rPr>
        <w:t xml:space="preserve"> субсидий из бюджета Республики Татарстан юридическим лицам, 100 процентов акций (долей) которых принадлежит Республике Татарстан, на осуществление капитальных вложений в объекты капитального строительства, находящихся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Федерации»</w:t>
      </w:r>
      <w:r w:rsidR="00966990" w:rsidRPr="001001D5">
        <w:rPr>
          <w:rFonts w:ascii="Times New Roman" w:hAnsi="Times New Roman" w:cs="Times New Roman"/>
          <w:sz w:val="28"/>
          <w:szCs w:val="28"/>
        </w:rPr>
        <w:t xml:space="preserve"> </w:t>
      </w:r>
      <w:r w:rsidR="008437E0" w:rsidRPr="00100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7E0" w:rsidRPr="001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37" w:rsidRPr="001001D5" w:rsidRDefault="00732837" w:rsidP="00451EE7">
      <w:pPr>
        <w:tabs>
          <w:tab w:val="left" w:pos="5670"/>
          <w:tab w:val="left" w:pos="6946"/>
        </w:tabs>
        <w:spacing w:after="0" w:line="26" w:lineRule="atLeast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37E0" w:rsidRPr="001001D5" w:rsidRDefault="003A246B" w:rsidP="005961B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1D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8437E0" w:rsidRPr="001001D5">
        <w:rPr>
          <w:rFonts w:ascii="Times New Roman" w:hAnsi="Times New Roman" w:cs="Times New Roman"/>
          <w:bCs/>
          <w:sz w:val="28"/>
          <w:szCs w:val="28"/>
        </w:rPr>
        <w:t xml:space="preserve"> ПОСТАНОВЛЯЕТ</w:t>
      </w:r>
      <w:r w:rsidR="008437E0" w:rsidRPr="001001D5">
        <w:rPr>
          <w:rFonts w:ascii="Times New Roman" w:hAnsi="Times New Roman" w:cs="Times New Roman"/>
          <w:sz w:val="28"/>
          <w:szCs w:val="28"/>
        </w:rPr>
        <w:t>:</w:t>
      </w:r>
    </w:p>
    <w:p w:rsidR="00247CA6" w:rsidRDefault="00247CA6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B39" w:rsidRDefault="00087B39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</w:t>
      </w:r>
      <w:r w:rsidRPr="00087B39">
        <w:rPr>
          <w:rFonts w:ascii="Times New Roman" w:hAnsi="Times New Roman" w:cs="Times New Roman"/>
          <w:sz w:val="28"/>
          <w:szCs w:val="28"/>
        </w:rPr>
        <w:t>от 23.04.2019 № 33</w:t>
      </w:r>
      <w:r w:rsidR="002D7E7A">
        <w:rPr>
          <w:rFonts w:ascii="Times New Roman" w:hAnsi="Times New Roman" w:cs="Times New Roman"/>
          <w:sz w:val="28"/>
          <w:szCs w:val="28"/>
        </w:rPr>
        <w:t>2</w:t>
      </w:r>
      <w:r w:rsidRPr="00087B3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D7E7A">
        <w:rPr>
          <w:rFonts w:ascii="Times New Roman" w:hAnsi="Times New Roman" w:cs="Times New Roman"/>
          <w:sz w:val="28"/>
          <w:szCs w:val="28"/>
        </w:rPr>
        <w:t>Порядка</w:t>
      </w:r>
      <w:r w:rsidRPr="00087B3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D7E7A">
        <w:rPr>
          <w:rFonts w:ascii="Times New Roman" w:hAnsi="Times New Roman" w:cs="Times New Roman"/>
          <w:sz w:val="28"/>
          <w:szCs w:val="28"/>
        </w:rPr>
        <w:t>я</w:t>
      </w:r>
      <w:r w:rsidRPr="00087B39">
        <w:rPr>
          <w:rFonts w:ascii="Times New Roman" w:hAnsi="Times New Roman" w:cs="Times New Roman"/>
          <w:sz w:val="28"/>
          <w:szCs w:val="28"/>
        </w:rPr>
        <w:t xml:space="preserve"> субсидий из бюджета Республики Татарстан юридическим лицам, 100 процентов акций (долей) которых принадлежит Республике Татарстан, на осуществление капитальных вложений в объекты капитального строительства, находящихся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Федерации»</w:t>
      </w:r>
      <w:r w:rsidRPr="0010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87B39" w:rsidRDefault="00087B39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147193">
        <w:rPr>
          <w:rFonts w:ascii="Times New Roman" w:hAnsi="Times New Roman" w:cs="Times New Roman"/>
          <w:bCs/>
          <w:sz w:val="28"/>
          <w:szCs w:val="28"/>
        </w:rPr>
        <w:t xml:space="preserve">аименование </w:t>
      </w:r>
      <w:r w:rsidR="00861206">
        <w:rPr>
          <w:rFonts w:ascii="Times New Roman" w:hAnsi="Times New Roman" w:cs="Times New Roman"/>
          <w:bCs/>
          <w:sz w:val="28"/>
          <w:szCs w:val="28"/>
        </w:rPr>
        <w:t>п</w:t>
      </w:r>
      <w:r w:rsidR="00147193">
        <w:rPr>
          <w:rFonts w:ascii="Times New Roman" w:hAnsi="Times New Roman" w:cs="Times New Roman"/>
          <w:bCs/>
          <w:sz w:val="28"/>
          <w:szCs w:val="28"/>
        </w:rPr>
        <w:t>осле слов «</w:t>
      </w:r>
      <w:r w:rsidR="00135DBD">
        <w:rPr>
          <w:rFonts w:ascii="Times New Roman" w:hAnsi="Times New Roman" w:cs="Times New Roman"/>
          <w:bCs/>
          <w:sz w:val="28"/>
          <w:szCs w:val="28"/>
        </w:rPr>
        <w:t>указанных юридических лиц</w:t>
      </w:r>
      <w:r w:rsidR="00147193">
        <w:rPr>
          <w:rFonts w:ascii="Times New Roman" w:hAnsi="Times New Roman" w:cs="Times New Roman"/>
          <w:bCs/>
          <w:sz w:val="28"/>
          <w:szCs w:val="28"/>
        </w:rPr>
        <w:t xml:space="preserve">» дополнить словами </w:t>
      </w:r>
      <w:r w:rsidR="00135DBD">
        <w:rPr>
          <w:rFonts w:ascii="Times New Roman" w:hAnsi="Times New Roman" w:cs="Times New Roman"/>
          <w:bCs/>
          <w:sz w:val="28"/>
          <w:szCs w:val="28"/>
        </w:rPr>
        <w:t>«</w:t>
      </w:r>
      <w:r w:rsidR="00135DBD" w:rsidRPr="00135DBD">
        <w:rPr>
          <w:rFonts w:ascii="Times New Roman" w:hAnsi="Times New Roman" w:cs="Times New Roman"/>
          <w:bCs/>
          <w:sz w:val="28"/>
          <w:szCs w:val="28"/>
        </w:rPr>
        <w:t>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государственной (муниципальной) собственности)</w:t>
      </w:r>
      <w:r w:rsidR="0014719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47193" w:rsidRDefault="00147193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 после слов «</w:t>
      </w:r>
      <w:r w:rsidR="00135DBD">
        <w:rPr>
          <w:rFonts w:ascii="Times New Roman" w:hAnsi="Times New Roman" w:cs="Times New Roman"/>
          <w:bCs/>
          <w:sz w:val="28"/>
          <w:szCs w:val="28"/>
        </w:rPr>
        <w:t>указанных юридических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» дополнить словами </w:t>
      </w:r>
      <w:r w:rsidR="00135DBD" w:rsidRPr="00135DBD">
        <w:rPr>
          <w:rFonts w:ascii="Times New Roman" w:hAnsi="Times New Roman" w:cs="Times New Roman"/>
          <w:bCs/>
          <w:sz w:val="28"/>
          <w:szCs w:val="28"/>
        </w:rPr>
        <w:t>«(в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государственной (муниципальной) собственности)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47193" w:rsidRDefault="002D7E7A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 w:rsidR="00147193" w:rsidRPr="00087B3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7193" w:rsidRPr="00087B39">
        <w:rPr>
          <w:rFonts w:ascii="Times New Roman" w:hAnsi="Times New Roman" w:cs="Times New Roman"/>
          <w:sz w:val="28"/>
          <w:szCs w:val="28"/>
        </w:rPr>
        <w:t xml:space="preserve"> субсидий из бюджета Республики Татарстан юридическим лицам, 100 процентов акций (долей) которых принадлежит Республике Татарстан, на осуществление капитальных вложений в объекты капитального строительства, находящихся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</w:t>
      </w:r>
      <w:r w:rsidR="00147193">
        <w:rPr>
          <w:rFonts w:ascii="Times New Roman" w:hAnsi="Times New Roman" w:cs="Times New Roman"/>
          <w:sz w:val="28"/>
          <w:szCs w:val="28"/>
        </w:rPr>
        <w:t>ательством Российской Федерации, утвержденных указанным постановлением</w:t>
      </w:r>
      <w:r w:rsidR="0083369F">
        <w:rPr>
          <w:rFonts w:ascii="Times New Roman" w:hAnsi="Times New Roman" w:cs="Times New Roman"/>
          <w:sz w:val="28"/>
          <w:szCs w:val="28"/>
        </w:rPr>
        <w:t>, изложить в новой редакции (прил</w:t>
      </w:r>
      <w:r w:rsidR="001A1128">
        <w:rPr>
          <w:rFonts w:ascii="Times New Roman" w:hAnsi="Times New Roman" w:cs="Times New Roman"/>
          <w:sz w:val="28"/>
          <w:szCs w:val="28"/>
        </w:rPr>
        <w:t>агается</w:t>
      </w:r>
      <w:r w:rsidR="0083369F">
        <w:rPr>
          <w:rFonts w:ascii="Times New Roman" w:hAnsi="Times New Roman" w:cs="Times New Roman"/>
          <w:sz w:val="28"/>
          <w:szCs w:val="28"/>
        </w:rPr>
        <w:t>).</w:t>
      </w:r>
    </w:p>
    <w:p w:rsidR="00C700D7" w:rsidRDefault="00C700D7" w:rsidP="00147193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D36" w:rsidRDefault="00BF5D36" w:rsidP="00BF5D3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5D36" w:rsidRDefault="00BF5D36" w:rsidP="00BF5D3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5D36" w:rsidRPr="00D22A72" w:rsidRDefault="00BF5D36" w:rsidP="00BF5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A72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BF5D36" w:rsidRDefault="00BF5D36" w:rsidP="00BF5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A72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 w:rsidRPr="00D22A72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C700D7" w:rsidRDefault="00C700D7" w:rsidP="00BF5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69F" w:rsidRDefault="0083369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3369F" w:rsidRPr="0083369F" w:rsidRDefault="0083369F" w:rsidP="00833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69F" w:rsidRPr="0083369F" w:rsidRDefault="0083369F" w:rsidP="0083369F">
      <w:pPr>
        <w:pStyle w:val="ConsPlusNormal"/>
        <w:ind w:left="7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Утвержден</w:t>
      </w:r>
    </w:p>
    <w:p w:rsidR="0083369F" w:rsidRPr="0083369F" w:rsidRDefault="0083369F" w:rsidP="0083369F">
      <w:pPr>
        <w:pStyle w:val="ConsPlusNormal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3369F" w:rsidRPr="0083369F" w:rsidRDefault="0083369F" w:rsidP="0083369F">
      <w:pPr>
        <w:pStyle w:val="ConsPlusNormal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83369F" w:rsidRPr="0083369F" w:rsidRDefault="0083369F" w:rsidP="0083369F">
      <w:pPr>
        <w:pStyle w:val="ConsPlusNormal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3369F" w:rsidRDefault="0083369F" w:rsidP="0083369F">
      <w:pPr>
        <w:pStyle w:val="ConsPlusNormal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2019 г. №</w:t>
      </w:r>
      <w:r w:rsidRPr="0083369F">
        <w:rPr>
          <w:rFonts w:ascii="Times New Roman" w:hAnsi="Times New Roman" w:cs="Times New Roman"/>
          <w:sz w:val="28"/>
          <w:szCs w:val="28"/>
        </w:rPr>
        <w:t xml:space="preserve"> 332</w:t>
      </w:r>
    </w:p>
    <w:p w:rsidR="00F2457B" w:rsidRPr="00F2457B" w:rsidRDefault="00F2457B" w:rsidP="00F2457B">
      <w:pPr>
        <w:pStyle w:val="ConsPlusNormal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F2457B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 w:rsidR="001A1128">
        <w:rPr>
          <w:rFonts w:ascii="Times New Roman" w:hAnsi="Times New Roman" w:cs="Times New Roman"/>
          <w:sz w:val="28"/>
          <w:szCs w:val="28"/>
        </w:rPr>
        <w:t xml:space="preserve"> </w:t>
      </w:r>
      <w:r w:rsidRPr="00F2457B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2457B" w:rsidRPr="00F2457B" w:rsidRDefault="00F2457B" w:rsidP="00F2457B">
      <w:pPr>
        <w:pStyle w:val="ConsPlusNormal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F2457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2457B" w:rsidRPr="0083369F" w:rsidRDefault="00F2457B" w:rsidP="00F2457B">
      <w:pPr>
        <w:pStyle w:val="ConsPlusNormal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F245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24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4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2457B">
        <w:rPr>
          <w:rFonts w:ascii="Times New Roman" w:hAnsi="Times New Roman" w:cs="Times New Roman"/>
          <w:sz w:val="28"/>
          <w:szCs w:val="28"/>
        </w:rPr>
        <w:t>)</w:t>
      </w:r>
    </w:p>
    <w:p w:rsidR="0083369F" w:rsidRPr="0083369F" w:rsidRDefault="0083369F" w:rsidP="00833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69F" w:rsidRPr="0083369F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83369F">
        <w:rPr>
          <w:rFonts w:ascii="Times New Roman" w:hAnsi="Times New Roman" w:cs="Times New Roman"/>
          <w:sz w:val="28"/>
          <w:szCs w:val="28"/>
        </w:rPr>
        <w:t>орядок</w:t>
      </w:r>
    </w:p>
    <w:p w:rsidR="0083369F" w:rsidRPr="0083369F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369F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3369F">
        <w:rPr>
          <w:rFonts w:ascii="Times New Roman" w:hAnsi="Times New Roman" w:cs="Times New Roman"/>
          <w:sz w:val="28"/>
          <w:szCs w:val="28"/>
        </w:rPr>
        <w:t>атарстан</w:t>
      </w:r>
    </w:p>
    <w:p w:rsidR="0083369F" w:rsidRPr="0083369F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юридическим лицам, 100 процентов акций (долей) которых</w:t>
      </w:r>
    </w:p>
    <w:p w:rsidR="0083369F" w:rsidRPr="0083369F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принадлежат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369F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3369F">
        <w:rPr>
          <w:rFonts w:ascii="Times New Roman" w:hAnsi="Times New Roman" w:cs="Times New Roman"/>
          <w:sz w:val="28"/>
          <w:szCs w:val="28"/>
        </w:rPr>
        <w:t>атарстан, на осуществление</w:t>
      </w:r>
    </w:p>
    <w:p w:rsidR="0083369F" w:rsidRPr="0083369F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капитальных вложений в объекты капитального строительства,</w:t>
      </w:r>
    </w:p>
    <w:p w:rsidR="00247CA6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указанных юридических лиц (в случаях, </w:t>
      </w:r>
    </w:p>
    <w:p w:rsidR="00247CA6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установленных федеральными законами, на возмещение затрат в связи с ранее осуществленными указанными юридическими лицами капитальными </w:t>
      </w:r>
    </w:p>
    <w:p w:rsidR="00247CA6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вложениями в объекты капитального строительства, находящиеся в </w:t>
      </w:r>
    </w:p>
    <w:p w:rsidR="00247CA6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собственности указанных юридических лиц или в государственной </w:t>
      </w:r>
    </w:p>
    <w:p w:rsidR="00247CA6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(муниципальной) собственности),</w:t>
      </w:r>
      <w:r w:rsidR="00247CA6"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 xml:space="preserve">и (или) на приобретение ими объектов </w:t>
      </w:r>
    </w:p>
    <w:p w:rsidR="00247CA6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247CA6"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 xml:space="preserve">с последующим увеличением уставных капиталов </w:t>
      </w:r>
    </w:p>
    <w:p w:rsidR="0083369F" w:rsidRPr="0083369F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таких</w:t>
      </w:r>
      <w:r w:rsidR="00247CA6"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>юридических лиц в соответствии с законодательством</w:t>
      </w:r>
    </w:p>
    <w:p w:rsidR="0083369F" w:rsidRPr="0083369F" w:rsidRDefault="0083369F" w:rsidP="00833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3369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3369F">
        <w:rPr>
          <w:rFonts w:ascii="Times New Roman" w:hAnsi="Times New Roman" w:cs="Times New Roman"/>
          <w:sz w:val="28"/>
          <w:szCs w:val="28"/>
        </w:rPr>
        <w:t>едерации</w:t>
      </w:r>
    </w:p>
    <w:p w:rsidR="0083369F" w:rsidRPr="0083369F" w:rsidRDefault="0083369F" w:rsidP="00247CA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83369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механизм, условия и цели предоставления субсидий из бюджета Республики Татарстан юридическим лицам, 100 процентов акций (долей) которых принадлежат Республике Татарстан (далее </w:t>
      </w:r>
      <w:r w:rsidR="00B4461B">
        <w:rPr>
          <w:rFonts w:ascii="Times New Roman" w:hAnsi="Times New Roman" w:cs="Times New Roman"/>
          <w:sz w:val="28"/>
          <w:szCs w:val="28"/>
        </w:rPr>
        <w:t>–</w:t>
      </w:r>
      <w:r w:rsidRPr="0083369F">
        <w:rPr>
          <w:rFonts w:ascii="Times New Roman" w:hAnsi="Times New Roman" w:cs="Times New Roman"/>
          <w:sz w:val="28"/>
          <w:szCs w:val="28"/>
        </w:rPr>
        <w:t xml:space="preserve"> юридические</w:t>
      </w:r>
      <w:r w:rsidR="00B4461B"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 xml:space="preserve">лица), на осуществление капитальных вложений в объекты </w:t>
      </w:r>
      <w:r w:rsidRPr="00073B0B">
        <w:rPr>
          <w:rFonts w:ascii="Times New Roman" w:hAnsi="Times New Roman" w:cs="Times New Roman"/>
          <w:sz w:val="28"/>
          <w:szCs w:val="28"/>
        </w:rPr>
        <w:t>капитального строительства, находящиеся в собственности указанных юридических лиц 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государственной (муниципальной) собственности), и (или) на приобретение ими объектов недвижимого имущества с последующим увеличением уставных</w:t>
      </w:r>
      <w:r w:rsidRPr="0083369F">
        <w:rPr>
          <w:rFonts w:ascii="Times New Roman" w:hAnsi="Times New Roman" w:cs="Times New Roman"/>
          <w:sz w:val="28"/>
          <w:szCs w:val="28"/>
        </w:rPr>
        <w:t xml:space="preserve"> капиталов таких юридических лиц в соответствии с законодательством Российской Федерации (далее </w:t>
      </w:r>
      <w:r w:rsidR="00B4461B">
        <w:rPr>
          <w:rFonts w:ascii="Times New Roman" w:hAnsi="Times New Roman" w:cs="Times New Roman"/>
          <w:sz w:val="28"/>
          <w:szCs w:val="28"/>
        </w:rPr>
        <w:t>–</w:t>
      </w:r>
      <w:r w:rsidRPr="0083369F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2. Субсидии предоставляются на цели, указанные в </w:t>
      </w:r>
      <w:hyperlink w:anchor="P46" w:history="1">
        <w:r w:rsidRPr="0083369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3369F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для достижения результатов федеральных проектов,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</w:t>
      </w:r>
      <w:r w:rsidR="004C3745"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доведенных в установленном порядке до получателя средств бюджета Республики Татарстан, предоставляющего субсидии юридическим лицам (далее </w:t>
      </w:r>
      <w:r w:rsidR="00B4461B">
        <w:rPr>
          <w:rFonts w:ascii="Times New Roman" w:hAnsi="Times New Roman" w:cs="Times New Roman"/>
          <w:sz w:val="28"/>
          <w:szCs w:val="28"/>
        </w:rPr>
        <w:t>–</w:t>
      </w:r>
      <w:r w:rsidRPr="0083369F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B4461B"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 xml:space="preserve">средств бюджета Республики Татарстан), </w:t>
      </w:r>
      <w:r w:rsidR="006D76AD">
        <w:rPr>
          <w:rFonts w:ascii="Times New Roman" w:hAnsi="Times New Roman" w:cs="Times New Roman"/>
          <w:sz w:val="28"/>
          <w:szCs w:val="28"/>
        </w:rPr>
        <w:t xml:space="preserve">а </w:t>
      </w:r>
      <w:r w:rsidR="006D76AD">
        <w:rPr>
          <w:rFonts w:ascii="Times New Roman" w:hAnsi="Times New Roman" w:cs="Times New Roman"/>
          <w:sz w:val="28"/>
          <w:szCs w:val="28"/>
        </w:rPr>
        <w:lastRenderedPageBreak/>
        <w:t xml:space="preserve">также в случаях предоставления субсидий </w:t>
      </w:r>
      <w:r w:rsidR="006D76AD" w:rsidRPr="0083369F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капитального строительства и (или) на приобретение ими объектов недвижимого имущества </w:t>
      </w:r>
      <w:r w:rsidR="006D76AD">
        <w:rPr>
          <w:rFonts w:ascii="Times New Roman" w:hAnsi="Times New Roman" w:cs="Times New Roman"/>
          <w:sz w:val="28"/>
          <w:szCs w:val="28"/>
        </w:rPr>
        <w:t>–</w:t>
      </w:r>
      <w:r w:rsidR="006D76AD" w:rsidRPr="0083369F">
        <w:rPr>
          <w:rFonts w:ascii="Times New Roman" w:hAnsi="Times New Roman" w:cs="Times New Roman"/>
          <w:sz w:val="28"/>
          <w:szCs w:val="28"/>
        </w:rPr>
        <w:t>в объеме, не превышающем размера средств, предусмотренных решением Правительства Республики Татарстан о предоставлении субсидий</w:t>
      </w:r>
      <w:r w:rsidR="006D76AD" w:rsidRPr="00F866F4">
        <w:rPr>
          <w:rFonts w:ascii="Times New Roman" w:hAnsi="Times New Roman" w:cs="Times New Roman"/>
          <w:sz w:val="28"/>
          <w:szCs w:val="28"/>
        </w:rPr>
        <w:t>, принимаемым</w:t>
      </w:r>
      <w:r w:rsidR="006D76AD" w:rsidRPr="0083369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history="1">
        <w:r w:rsidR="006D76AD" w:rsidRPr="0083369F">
          <w:rPr>
            <w:rFonts w:ascii="Times New Roman" w:hAnsi="Times New Roman" w:cs="Times New Roman"/>
            <w:sz w:val="28"/>
            <w:szCs w:val="28"/>
          </w:rPr>
          <w:t>абзацем вторым пункта 8 статьи 78</w:t>
        </w:r>
      </w:hyperlink>
      <w:r w:rsidR="006D76AD" w:rsidRPr="008336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</w:t>
      </w:r>
      <w:r w:rsidR="006D76AD">
        <w:rPr>
          <w:rFonts w:ascii="Times New Roman" w:hAnsi="Times New Roman" w:cs="Times New Roman"/>
          <w:sz w:val="28"/>
          <w:szCs w:val="28"/>
        </w:rPr>
        <w:t>–</w:t>
      </w:r>
      <w:r w:rsidR="006D76AD" w:rsidRPr="0083369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D76AD">
        <w:rPr>
          <w:rFonts w:ascii="Times New Roman" w:hAnsi="Times New Roman" w:cs="Times New Roman"/>
          <w:sz w:val="28"/>
          <w:szCs w:val="28"/>
        </w:rPr>
        <w:t xml:space="preserve"> </w:t>
      </w:r>
      <w:r w:rsidR="006D76AD" w:rsidRPr="0083369F">
        <w:rPr>
          <w:rFonts w:ascii="Times New Roman" w:hAnsi="Times New Roman" w:cs="Times New Roman"/>
          <w:sz w:val="28"/>
          <w:szCs w:val="28"/>
        </w:rPr>
        <w:t>о предоставлении субсидий)</w:t>
      </w:r>
      <w:r w:rsidR="006D76AD">
        <w:rPr>
          <w:rFonts w:ascii="Times New Roman" w:hAnsi="Times New Roman" w:cs="Times New Roman"/>
          <w:sz w:val="28"/>
          <w:szCs w:val="28"/>
        </w:rPr>
        <w:t xml:space="preserve">, </w:t>
      </w:r>
      <w:r w:rsidRPr="0083369F">
        <w:rPr>
          <w:rFonts w:ascii="Times New Roman" w:hAnsi="Times New Roman" w:cs="Times New Roman"/>
          <w:sz w:val="28"/>
          <w:szCs w:val="28"/>
        </w:rPr>
        <w:t>либо в пределах средств, предусматриваемых в установленном порядке решениями Правительства Республики Татарстан о заключении договоров (соглашений) о предоставлении субсидий на срок, превышающий срок действия утвержденных получателю средств бюджета Республики Татарстан лимитов бюджетных обязательств.</w:t>
      </w:r>
    </w:p>
    <w:p w:rsidR="0083369F" w:rsidRPr="00073B0B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3. Субсидия предоставляется в соответствии с договором о предоставлении субсидии, заключаемым между получателем средств бюджета Республики Татарстан и юридическим лицом в соответствии с </w:t>
      </w:r>
      <w:r w:rsidRPr="00073B0B">
        <w:rPr>
          <w:rFonts w:ascii="Times New Roman" w:hAnsi="Times New Roman" w:cs="Times New Roman"/>
          <w:sz w:val="28"/>
          <w:szCs w:val="28"/>
        </w:rPr>
        <w:t xml:space="preserve">утвержденной Министерством финансов Республики Татарстан типовой формой, предусматривающей в том числе положения о предоставлении отчетности о расходах, источником финансового обеспечения которых является субсидия (при предоставлении субсидии на осуществление капитальных вложений и (или) на приобретение объектов недвижимого имущества), о достижении юридическим лицом значений показателей результативности предоставления субсидии (далее </w:t>
      </w:r>
      <w:r w:rsidR="00B4461B" w:rsidRPr="00073B0B">
        <w:rPr>
          <w:rFonts w:ascii="Times New Roman" w:hAnsi="Times New Roman" w:cs="Times New Roman"/>
          <w:sz w:val="28"/>
          <w:szCs w:val="28"/>
        </w:rPr>
        <w:t>–</w:t>
      </w:r>
      <w:r w:rsidRPr="00073B0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4461B" w:rsidRPr="00073B0B">
        <w:rPr>
          <w:rFonts w:ascii="Times New Roman" w:hAnsi="Times New Roman" w:cs="Times New Roman"/>
          <w:sz w:val="28"/>
          <w:szCs w:val="28"/>
        </w:rPr>
        <w:t>)</w:t>
      </w:r>
      <w:r w:rsidRPr="00073B0B">
        <w:rPr>
          <w:rFonts w:ascii="Times New Roman" w:hAnsi="Times New Roman" w:cs="Times New Roman"/>
          <w:sz w:val="28"/>
          <w:szCs w:val="28"/>
        </w:rPr>
        <w:t>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73B0B">
        <w:rPr>
          <w:rFonts w:ascii="Times New Roman" w:hAnsi="Times New Roman" w:cs="Times New Roman"/>
          <w:sz w:val="28"/>
          <w:szCs w:val="28"/>
        </w:rPr>
        <w:t xml:space="preserve">Договор заключается после доведения в установленном порядке до получателя средств бюджета Республики Татарстан лимитов бюджетных обязательств на цели, указанные в </w:t>
      </w:r>
      <w:hyperlink w:anchor="P46" w:history="1">
        <w:r w:rsidRPr="00073B0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73B0B">
        <w:rPr>
          <w:rFonts w:ascii="Times New Roman" w:hAnsi="Times New Roman" w:cs="Times New Roman"/>
          <w:sz w:val="28"/>
          <w:szCs w:val="28"/>
        </w:rPr>
        <w:t xml:space="preserve"> настоящего Порядка, если иной срок заключения договора не определен решением о предоставлении субсидий</w:t>
      </w:r>
      <w:r w:rsidRPr="0083369F">
        <w:rPr>
          <w:rFonts w:ascii="Times New Roman" w:hAnsi="Times New Roman" w:cs="Times New Roman"/>
          <w:sz w:val="28"/>
          <w:szCs w:val="28"/>
        </w:rPr>
        <w:t>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83369F">
        <w:rPr>
          <w:rFonts w:ascii="Times New Roman" w:hAnsi="Times New Roman" w:cs="Times New Roman"/>
          <w:sz w:val="28"/>
          <w:szCs w:val="28"/>
        </w:rPr>
        <w:t>4. В случае если иное не установлено решением о предоставлении субсидий, юридическое лицо должно соответствовать на 1-е число месяца, предшествующего месяцу, в котором планируется заключение договора, следующим требованиям: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б) юридическое лицо не находится в процессе реорганизации,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в) у юридического лица отсутствует просроченная задолженность по возврату в бюджет Республики Татарстан средств, предоставленных в соответствии с законом Республики Татарстан о бюджете Республики Татарстан и иными нормативными правовыми актами, регулирующими правила предоставления указанных средств, а также другая просроченная задолженность перед бюджетом Республики Татарстан.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83369F">
        <w:rPr>
          <w:rFonts w:ascii="Times New Roman" w:hAnsi="Times New Roman" w:cs="Times New Roman"/>
          <w:sz w:val="28"/>
          <w:szCs w:val="28"/>
        </w:rPr>
        <w:t>5. Юридическое лицо для заключения с ним договора предоставляет получателю средств бюджета Республики Татарстан следующие документы: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а) справка налогового органа, подтверждающая отсутствие у юридического лица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б) выписка из Единого государственного реестра юридических лиц, содержащая </w:t>
      </w:r>
      <w:r w:rsidRPr="0083369F">
        <w:rPr>
          <w:rFonts w:ascii="Times New Roman" w:hAnsi="Times New Roman" w:cs="Times New Roman"/>
          <w:sz w:val="28"/>
          <w:szCs w:val="28"/>
        </w:rPr>
        <w:lastRenderedPageBreak/>
        <w:t>сведения о юридическом лице (в случае непредставления юридическим лицом такого документа получатель средств бюджета Республики Татарстан запрашивает его самостоятельно в рамках межведомственного информационного взаимодействия);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в) справка, подписанная руководителем юридического лица (иным уполномоченным лицом), подтверждающая соответствие юридического лица требованиям </w:t>
      </w:r>
      <w:hyperlink w:anchor="P50" w:history="1">
        <w:r w:rsidRPr="0083369F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8336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5.1. На возмещение затрат в связи с ранее осуществленными юридическими лицами капитальными вложениями в объекты капитального строительства, находящиеся в собственности юридических лиц или в государственной (муниципальной) собственности дополнительно к документам, указанным в пункте 5, юридическое лицо представляет следующие документы: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а) копии актов сдачи-приемки работ (на </w:t>
      </w:r>
      <w:r w:rsidR="00261E58">
        <w:rPr>
          <w:rFonts w:ascii="Times New Roman" w:hAnsi="Times New Roman" w:cs="Times New Roman"/>
          <w:sz w:val="28"/>
          <w:szCs w:val="28"/>
        </w:rPr>
        <w:t xml:space="preserve">проектно-изыскательские работы, </w:t>
      </w:r>
      <w:r w:rsidRPr="0083369F">
        <w:rPr>
          <w:rFonts w:ascii="Times New Roman" w:hAnsi="Times New Roman" w:cs="Times New Roman"/>
          <w:sz w:val="28"/>
          <w:szCs w:val="28"/>
        </w:rPr>
        <w:t>разработку технических условий и технологическое присоединение объектов инфраструктуры</w:t>
      </w:r>
      <w:r w:rsidR="00261E58">
        <w:rPr>
          <w:rFonts w:ascii="Times New Roman" w:hAnsi="Times New Roman" w:cs="Times New Roman"/>
          <w:sz w:val="28"/>
          <w:szCs w:val="28"/>
        </w:rPr>
        <w:t>, представляются в случае субсидирования данных видов работ</w:t>
      </w:r>
      <w:r w:rsidRPr="0083369F">
        <w:rPr>
          <w:rFonts w:ascii="Times New Roman" w:hAnsi="Times New Roman" w:cs="Times New Roman"/>
          <w:sz w:val="28"/>
          <w:szCs w:val="28"/>
        </w:rPr>
        <w:t>)</w:t>
      </w:r>
      <w:r w:rsidRPr="0083369F">
        <w:rPr>
          <w:rStyle w:val="a5"/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3369F" w:rsidRPr="0083369F" w:rsidRDefault="00B03ED7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369F" w:rsidRPr="0083369F">
        <w:rPr>
          <w:rFonts w:ascii="Times New Roman" w:hAnsi="Times New Roman" w:cs="Times New Roman"/>
          <w:sz w:val="28"/>
          <w:szCs w:val="28"/>
        </w:rPr>
        <w:t>) копии договоров, заключенных с подрядной организацией по субсидируемым объектам капитального строительства;</w:t>
      </w:r>
    </w:p>
    <w:p w:rsidR="0083369F" w:rsidRPr="0083369F" w:rsidRDefault="00B03ED7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369F" w:rsidRPr="0083369F">
        <w:rPr>
          <w:rFonts w:ascii="Times New Roman" w:hAnsi="Times New Roman" w:cs="Times New Roman"/>
          <w:sz w:val="28"/>
          <w:szCs w:val="28"/>
        </w:rPr>
        <w:t>) копии договоров поставки</w:t>
      </w:r>
      <w:r w:rsidR="006E4A82">
        <w:rPr>
          <w:rFonts w:ascii="Times New Roman" w:hAnsi="Times New Roman" w:cs="Times New Roman"/>
          <w:sz w:val="28"/>
          <w:szCs w:val="28"/>
        </w:rPr>
        <w:t xml:space="preserve"> и (или) купли-продажи</w:t>
      </w:r>
      <w:r w:rsidR="0083369F" w:rsidRPr="0083369F">
        <w:rPr>
          <w:rFonts w:ascii="Times New Roman" w:hAnsi="Times New Roman" w:cs="Times New Roman"/>
          <w:sz w:val="28"/>
          <w:szCs w:val="28"/>
        </w:rPr>
        <w:t xml:space="preserve">, заключенных с поставщиком по поставке </w:t>
      </w:r>
      <w:r w:rsidR="0083369F" w:rsidRPr="0041587C">
        <w:rPr>
          <w:rFonts w:ascii="Times New Roman" w:hAnsi="Times New Roman" w:cs="Times New Roman"/>
          <w:sz w:val="28"/>
          <w:szCs w:val="28"/>
        </w:rPr>
        <w:t>оборудования</w:t>
      </w:r>
      <w:r w:rsidR="006E4A82">
        <w:rPr>
          <w:rFonts w:ascii="Times New Roman" w:hAnsi="Times New Roman" w:cs="Times New Roman"/>
          <w:sz w:val="28"/>
          <w:szCs w:val="28"/>
        </w:rPr>
        <w:t>, программного обеспечения</w:t>
      </w:r>
      <w:r w:rsidR="0083369F" w:rsidRPr="0041587C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3369F" w:rsidRPr="0083369F">
        <w:rPr>
          <w:rFonts w:ascii="Times New Roman" w:hAnsi="Times New Roman" w:cs="Times New Roman"/>
          <w:sz w:val="28"/>
          <w:szCs w:val="28"/>
        </w:rPr>
        <w:t xml:space="preserve"> материалов на субсидируемые объекты капитального строительства</w:t>
      </w:r>
      <w:r w:rsidR="00261E58">
        <w:rPr>
          <w:rFonts w:ascii="Times New Roman" w:hAnsi="Times New Roman" w:cs="Times New Roman"/>
          <w:sz w:val="28"/>
          <w:szCs w:val="28"/>
        </w:rPr>
        <w:t xml:space="preserve"> (представляются в случае субсидирования оборудования</w:t>
      </w:r>
      <w:r w:rsidR="006E4A82">
        <w:rPr>
          <w:rFonts w:ascii="Times New Roman" w:hAnsi="Times New Roman" w:cs="Times New Roman"/>
          <w:sz w:val="28"/>
          <w:szCs w:val="28"/>
        </w:rPr>
        <w:t>, программного обеспечения</w:t>
      </w:r>
      <w:bookmarkStart w:id="4" w:name="_GoBack"/>
      <w:bookmarkEnd w:id="4"/>
      <w:r w:rsidR="00261E58">
        <w:rPr>
          <w:rFonts w:ascii="Times New Roman" w:hAnsi="Times New Roman" w:cs="Times New Roman"/>
          <w:sz w:val="28"/>
          <w:szCs w:val="28"/>
        </w:rPr>
        <w:t xml:space="preserve"> и (или) материалов</w:t>
      </w:r>
      <w:r w:rsidR="00261E58" w:rsidRPr="0083369F">
        <w:rPr>
          <w:rFonts w:ascii="Times New Roman" w:hAnsi="Times New Roman" w:cs="Times New Roman"/>
          <w:sz w:val="28"/>
          <w:szCs w:val="28"/>
        </w:rPr>
        <w:t>)</w:t>
      </w:r>
      <w:r w:rsidR="0083369F" w:rsidRPr="008336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9F" w:rsidRPr="0083369F" w:rsidRDefault="00B03ED7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3369F" w:rsidRPr="00C800BC">
        <w:rPr>
          <w:rFonts w:ascii="Times New Roman" w:hAnsi="Times New Roman" w:cs="Times New Roman"/>
          <w:sz w:val="28"/>
          <w:szCs w:val="28"/>
        </w:rPr>
        <w:t xml:space="preserve"> копии платежных документов и (или) иных документов, подтверждающих</w:t>
      </w:r>
      <w:r w:rsidR="0083369F" w:rsidRPr="0083369F">
        <w:rPr>
          <w:rFonts w:ascii="Times New Roman" w:hAnsi="Times New Roman" w:cs="Times New Roman"/>
          <w:sz w:val="28"/>
          <w:szCs w:val="28"/>
        </w:rPr>
        <w:t xml:space="preserve"> оплату выполненных работ и (или) оплату приобретенного оборудования</w:t>
      </w:r>
      <w:r w:rsidR="000C273E">
        <w:rPr>
          <w:rFonts w:ascii="Times New Roman" w:hAnsi="Times New Roman" w:cs="Times New Roman"/>
          <w:sz w:val="28"/>
          <w:szCs w:val="28"/>
        </w:rPr>
        <w:t>, программного обеспечения</w:t>
      </w:r>
      <w:r w:rsidR="00181605">
        <w:rPr>
          <w:rFonts w:ascii="Times New Roman" w:hAnsi="Times New Roman" w:cs="Times New Roman"/>
          <w:sz w:val="28"/>
          <w:szCs w:val="28"/>
        </w:rPr>
        <w:t xml:space="preserve"> и (или) материалов (представляются в случае субсидирования оборудования</w:t>
      </w:r>
      <w:r w:rsidR="000C273E">
        <w:rPr>
          <w:rFonts w:ascii="Times New Roman" w:hAnsi="Times New Roman" w:cs="Times New Roman"/>
          <w:sz w:val="28"/>
          <w:szCs w:val="28"/>
        </w:rPr>
        <w:t>, программного обеспечения</w:t>
      </w:r>
      <w:r w:rsidR="00181605">
        <w:rPr>
          <w:rFonts w:ascii="Times New Roman" w:hAnsi="Times New Roman" w:cs="Times New Roman"/>
          <w:sz w:val="28"/>
          <w:szCs w:val="28"/>
        </w:rPr>
        <w:t xml:space="preserve"> и (или) материалов</w:t>
      </w:r>
      <w:r w:rsidR="00181605" w:rsidRPr="0083369F">
        <w:rPr>
          <w:rFonts w:ascii="Times New Roman" w:hAnsi="Times New Roman" w:cs="Times New Roman"/>
          <w:sz w:val="28"/>
          <w:szCs w:val="28"/>
        </w:rPr>
        <w:t>)</w:t>
      </w:r>
      <w:r w:rsidR="0083369F" w:rsidRPr="0083369F">
        <w:rPr>
          <w:rFonts w:ascii="Times New Roman" w:hAnsi="Times New Roman" w:cs="Times New Roman"/>
          <w:sz w:val="28"/>
          <w:szCs w:val="28"/>
        </w:rPr>
        <w:t>;</w:t>
      </w:r>
    </w:p>
    <w:p w:rsidR="0083369F" w:rsidRPr="0083369F" w:rsidRDefault="00B03ED7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3369F" w:rsidRPr="0083369F">
        <w:rPr>
          <w:rFonts w:ascii="Times New Roman" w:hAnsi="Times New Roman" w:cs="Times New Roman"/>
          <w:sz w:val="28"/>
          <w:szCs w:val="28"/>
        </w:rPr>
        <w:t xml:space="preserve">) справка-расчет об объемах причитающихся субсидий по форме согласно </w:t>
      </w:r>
      <w:proofErr w:type="gramStart"/>
      <w:r w:rsidR="0083369F" w:rsidRPr="0083369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3369F">
        <w:rPr>
          <w:rFonts w:ascii="Times New Roman" w:hAnsi="Times New Roman" w:cs="Times New Roman"/>
          <w:sz w:val="28"/>
          <w:szCs w:val="28"/>
        </w:rPr>
        <w:t xml:space="preserve"> </w:t>
      </w:r>
      <w:r w:rsidR="0083369F" w:rsidRPr="0083369F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83369F" w:rsidRPr="0083369F" w:rsidRDefault="00B03ED7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369F" w:rsidRPr="0083369F">
        <w:rPr>
          <w:rFonts w:ascii="Times New Roman" w:hAnsi="Times New Roman" w:cs="Times New Roman"/>
          <w:sz w:val="28"/>
          <w:szCs w:val="28"/>
        </w:rPr>
        <w:t>) копии действующих учредительных документов юридического лица;</w:t>
      </w:r>
    </w:p>
    <w:p w:rsidR="0083369F" w:rsidRPr="0083369F" w:rsidRDefault="00B03ED7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3369F" w:rsidRPr="0083369F">
        <w:rPr>
          <w:rFonts w:ascii="Times New Roman" w:hAnsi="Times New Roman" w:cs="Times New Roman"/>
          <w:sz w:val="28"/>
          <w:szCs w:val="28"/>
        </w:rPr>
        <w:t>) копии документов, подтверждающих полномочия руководителя юридического лица;</w:t>
      </w:r>
    </w:p>
    <w:p w:rsidR="0083369F" w:rsidRPr="0083369F" w:rsidRDefault="00B03ED7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369F" w:rsidRPr="0083369F">
        <w:rPr>
          <w:rFonts w:ascii="Times New Roman" w:hAnsi="Times New Roman" w:cs="Times New Roman"/>
          <w:sz w:val="28"/>
          <w:szCs w:val="28"/>
        </w:rPr>
        <w:t>) бизнес-план, включающий в себя финансово-экономическую модель, мастер-план расположения объектов капитального строительства;</w:t>
      </w:r>
    </w:p>
    <w:p w:rsidR="0083369F" w:rsidRPr="0083369F" w:rsidRDefault="00B03ED7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369F" w:rsidRPr="0083369F">
        <w:rPr>
          <w:rFonts w:ascii="Times New Roman" w:hAnsi="Times New Roman" w:cs="Times New Roman"/>
          <w:sz w:val="28"/>
          <w:szCs w:val="28"/>
        </w:rPr>
        <w:t xml:space="preserve">) копии положительного </w:t>
      </w:r>
      <w:r w:rsidR="001268F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3369F" w:rsidRPr="0083369F">
        <w:rPr>
          <w:rFonts w:ascii="Times New Roman" w:hAnsi="Times New Roman" w:cs="Times New Roman"/>
          <w:sz w:val="28"/>
          <w:szCs w:val="28"/>
        </w:rPr>
        <w:t>заключения экспертизы проектной документации и результатов инженерных изысканий, выполненных для подготовки такой проектной документации, о достоверности сметной стоимости объектов капитального строительства;</w:t>
      </w:r>
    </w:p>
    <w:p w:rsidR="00B03ED7" w:rsidRDefault="00B03ED7" w:rsidP="00B03ED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369F" w:rsidRPr="0083369F">
        <w:rPr>
          <w:rFonts w:ascii="Times New Roman" w:hAnsi="Times New Roman" w:cs="Times New Roman"/>
          <w:sz w:val="28"/>
          <w:szCs w:val="28"/>
        </w:rPr>
        <w:t>) копии сводных сметных расчетов стоимости строительства, модернизации и (или) реконструкции объектов капитального строительства, подтвержденных положительным заключением государственной экспертизы о достоверности сметной стоимости объектов капитального строительства и согласованных с Министерством строительства, архитектуры и жилищно-коммунального хозяйства Республики Татарстан.</w:t>
      </w:r>
      <w:r w:rsidRPr="00B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ED7" w:rsidRPr="00B03ED7" w:rsidRDefault="00B03ED7" w:rsidP="00B03ED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3369F">
        <w:rPr>
          <w:rFonts w:ascii="Times New Roman" w:hAnsi="Times New Roman" w:cs="Times New Roman"/>
          <w:sz w:val="28"/>
          <w:szCs w:val="28"/>
        </w:rPr>
        <w:t>) копии справок о стоимости выполненных работ и затрат на создание, модер</w:t>
      </w:r>
      <w:r w:rsidRPr="00B03ED7">
        <w:rPr>
          <w:rFonts w:ascii="Times New Roman" w:hAnsi="Times New Roman" w:cs="Times New Roman"/>
          <w:sz w:val="28"/>
          <w:szCs w:val="28"/>
        </w:rPr>
        <w:t>низацию и (или) реконструкцию субсидируемых объектов капитального строительства по форме КС-3, согласованные с Министерством строительства, архитектуры и жилищно-коммунального хозяйства Республики Татарстан на соответствие сводно-</w:t>
      </w:r>
      <w:r w:rsidRPr="00B03ED7">
        <w:rPr>
          <w:rFonts w:ascii="Times New Roman" w:hAnsi="Times New Roman" w:cs="Times New Roman"/>
          <w:sz w:val="28"/>
          <w:szCs w:val="28"/>
        </w:rPr>
        <w:lastRenderedPageBreak/>
        <w:t>сметным расчетам стоимости строительства, модернизации и (или) реконструкции объектов капитального строительства (представляются в случае субсидирования строительно-монтажных работ);</w:t>
      </w:r>
    </w:p>
    <w:p w:rsidR="00B03ED7" w:rsidRPr="00B03ED7" w:rsidRDefault="00B03ED7" w:rsidP="00B03ED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ED7">
        <w:rPr>
          <w:rFonts w:ascii="Times New Roman" w:hAnsi="Times New Roman" w:cs="Times New Roman"/>
          <w:sz w:val="28"/>
          <w:szCs w:val="28"/>
        </w:rPr>
        <w:t>м) копии актов о приемке выполненных работ на создание, модернизацию и (или) реконструкцию субсидируемых объектов капитального строительства по форме            КС-2, согласованные с Министерством строительства, архитектуры и жилищно-коммунального хозяйства Республики Татарстан на соответствие сводно-сметным расчетам стоимости строительства, модернизации и (или) реконструкции объектов капитального строительства (представляются в случае субсидирования строительно-монтажных работ);</w:t>
      </w:r>
    </w:p>
    <w:p w:rsidR="00B03ED7" w:rsidRPr="00C800BC" w:rsidRDefault="00B03ED7" w:rsidP="00B03ED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ED7">
        <w:rPr>
          <w:rFonts w:ascii="Times New Roman" w:hAnsi="Times New Roman" w:cs="Times New Roman"/>
          <w:sz w:val="28"/>
          <w:szCs w:val="28"/>
        </w:rPr>
        <w:t>н) копии актов приема-передачи оборудования, программного обеспечения</w:t>
      </w:r>
      <w:r w:rsidR="000C273E">
        <w:rPr>
          <w:rFonts w:ascii="Times New Roman" w:hAnsi="Times New Roman" w:cs="Times New Roman"/>
          <w:sz w:val="28"/>
          <w:szCs w:val="28"/>
        </w:rPr>
        <w:t xml:space="preserve"> </w:t>
      </w:r>
      <w:r w:rsidRPr="00B03ED7">
        <w:rPr>
          <w:rFonts w:ascii="Times New Roman" w:hAnsi="Times New Roman" w:cs="Times New Roman"/>
          <w:sz w:val="28"/>
          <w:szCs w:val="28"/>
        </w:rPr>
        <w:t>и (или) материалов по форме УПД и актов приема-передачи оборудования и (или) материалов по форме ОС-15, согласованных с Министерством строительства, архитектуры и жилищно-коммунального хозяйства Республики Татарстан на соответствие сводно-сметным расчетам стоимости строительства, модернизации и (или) реконструкции объектов капитального строительства (представляются в случае субсидирования оборудования</w:t>
      </w:r>
      <w:r w:rsidR="000C273E">
        <w:rPr>
          <w:rFonts w:ascii="Times New Roman" w:hAnsi="Times New Roman" w:cs="Times New Roman"/>
          <w:sz w:val="28"/>
          <w:szCs w:val="28"/>
        </w:rPr>
        <w:t>, программного обеспечения</w:t>
      </w:r>
      <w:r w:rsidRPr="00B03ED7">
        <w:rPr>
          <w:rFonts w:ascii="Times New Roman" w:hAnsi="Times New Roman" w:cs="Times New Roman"/>
          <w:sz w:val="28"/>
          <w:szCs w:val="28"/>
        </w:rPr>
        <w:t xml:space="preserve"> и (или) материалов).</w:t>
      </w:r>
      <w:r w:rsidRPr="00C8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6. Получатель средств бюджета Республики Татарстан в течение 10 рабочих дней со дня получения от юридического лица документов, указанных в </w:t>
      </w:r>
      <w:hyperlink w:anchor="P54" w:history="1">
        <w:r w:rsidRPr="0083369F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83369F">
        <w:rPr>
          <w:rFonts w:ascii="Times New Roman" w:hAnsi="Times New Roman" w:cs="Times New Roman"/>
          <w:sz w:val="28"/>
          <w:szCs w:val="28"/>
        </w:rPr>
        <w:t>, 5.1 настоящего Порядка, рассматривает их и принимает решение о заключении с юридическим лицом договора либо направляет юридическому лицу информацию об отказе в предоставлении субсидии в одном из следующих случаев: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а) непредставление (представление не в полном объеме) юридическим лицом документов, необходимых для заключения с ним договора;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б) недостоверность информации, содержащейся в представленных юридическим лицом документах;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в) отсутствие в соответствии с бюджетным законодательством Республики Татарстан оснований для заключения с юридическим лицом договора.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7. Договор заключается в отношении одного или нескольких объектов капитального строительства и (или) объектов недвижимого имущества и содержит в том числе:</w:t>
      </w:r>
    </w:p>
    <w:p w:rsidR="0083369F" w:rsidRPr="0083369F" w:rsidRDefault="0083369F" w:rsidP="00247CA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а) целевое назначение и значения результатов предоставления субсидии, включая в отношении каждого объекта капитального строительства и (или) объектов недвижимого имущества его наименование, мощность, при предоставлении субсидии на осуществление капитальных вложений и (или) на приобретение объектов недвижимого имущества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369F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>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(предельную) стоимость) и (или) стоимость приобретения, соответствующие решению о предоставлении субсидий. В случае если субсидия предоставляется в целях достижения результатов федерального проекта, указывается наименование соответствующего федерального проекта, при этом результаты предоставления субсидии должны соответствовать результатам федерального проекта;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б) значения показателей результативности предоставления субсидии, определенных решением о предоставлении субсидий (при их наличии), а также условие об их достижении юридическим лицом;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lastRenderedPageBreak/>
        <w:t>в) сроки перечисления субсидии (за исключением субсидии, предоставляемой в пределах суммы, необходимой для оплаты денежных обязательств юридического лица, источником финансового обеспечения которых является субсидия);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г) порядок перечисления субсидии, счета, на которые перечисляется субсидия;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д) положения, устанавливающие права и обязанности сторон договора и порядок взаимодействия сторон при его реализации;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83369F">
        <w:rPr>
          <w:rFonts w:ascii="Times New Roman" w:hAnsi="Times New Roman" w:cs="Times New Roman"/>
          <w:sz w:val="28"/>
          <w:szCs w:val="28"/>
        </w:rPr>
        <w:t>е) обязанность юридического лица осуществлять закупки за счет средств, полученных на осуществление капитальных вложений и (или) на приобретение объектов недвижимого имущества, а также закупки в целях строительства (реконструкции) объектов капитального строительства, подлежащих в случае установленных федеральными законами, передаче в государственную (муниципальную) собственность,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ж) при предоставлении субсидии на осуществление капитальных вложений и (или) на приобретение объектов недвижимого имущества </w:t>
      </w:r>
      <w:r w:rsidR="00247CA6">
        <w:rPr>
          <w:rFonts w:ascii="Times New Roman" w:hAnsi="Times New Roman" w:cs="Times New Roman"/>
          <w:sz w:val="28"/>
          <w:szCs w:val="28"/>
        </w:rPr>
        <w:t>–</w:t>
      </w:r>
      <w:r w:rsidRPr="0083369F">
        <w:rPr>
          <w:rFonts w:ascii="Times New Roman" w:hAnsi="Times New Roman" w:cs="Times New Roman"/>
          <w:sz w:val="28"/>
          <w:szCs w:val="28"/>
        </w:rPr>
        <w:t xml:space="preserve"> обязанность</w:t>
      </w:r>
      <w:r w:rsidR="00247CA6"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>юридического лица осуществить финансовое обеспечение капитальных вложений в объекты капитального строительства и (или) объекты недвижимого имущества в размере, предусмотренном решением о предоставлении субсидий и договором;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з) обязанность юридического лица осуществить финансовое обеспечение работ и услуг в соответствии с нормативными правовыми актами Правительства Республики Татарстан, регулирующими порядок принятия решений о предоставлении субсидий, без использования на эти цели средств, предоставляемых из бюджета Республики Татарстан;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и) при получении субсидий на осуществление капитальных вложений и (или) на приобретение объектов недвижимого имущества </w:t>
      </w:r>
      <w:r w:rsidR="00247CA6">
        <w:rPr>
          <w:rFonts w:ascii="Times New Roman" w:hAnsi="Times New Roman" w:cs="Times New Roman"/>
          <w:sz w:val="28"/>
          <w:szCs w:val="28"/>
        </w:rPr>
        <w:t>–</w:t>
      </w:r>
      <w:r w:rsidRPr="0083369F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47CA6"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>о запрете: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на приобретение юридическим лицом за счет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 и определенных решением о предоставлении субсидий;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на перечисление юридическим лицом субсидий 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на осуществление операций, определенных нормативными правовыми актами Правительства Российской Федерации, в случаях, установленных в соответствии с бюджетным законодательством Российской Федерации, при осуществлении казначейского сопровождения субсидий;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к) обязательство юридического лица осуществлять эксплуатационные расходы, необходимые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Республики Татарстан в соответствии с законом о бюджете Республики Татарстан и иными нормативными правовыми актами, регулирующими правила предоставления указанных </w:t>
      </w:r>
      <w:r w:rsidRPr="0083369F">
        <w:rPr>
          <w:rFonts w:ascii="Times New Roman" w:hAnsi="Times New Roman" w:cs="Times New Roman"/>
          <w:sz w:val="28"/>
          <w:szCs w:val="28"/>
        </w:rPr>
        <w:lastRenderedPageBreak/>
        <w:t>средств;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л) положение о возврате юридическим лицом в бюджет Республики Татарстан остатка субсидии, не использованного в отчетном финансовом году (за исключением субсидии на возмещение затрат и субсидии, предоставляемой в пределах суммы, необходимой для оплаты денежных обязательств юридического лица, источником финансового обеспечения которых является указанная субсидия), если получателем средств бюджета Республики Татарстан не принято в </w:t>
      </w:r>
      <w:r w:rsidRPr="00E752A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84" w:history="1">
        <w:r w:rsidRPr="00E752A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3F5FDE" w:rsidRPr="00E752A7">
        <w:rPr>
          <w:rFonts w:ascii="Times New Roman" w:hAnsi="Times New Roman" w:cs="Times New Roman"/>
          <w:sz w:val="28"/>
          <w:szCs w:val="28"/>
        </w:rPr>
        <w:t>1</w:t>
      </w:r>
      <w:r w:rsidRPr="0083369F">
        <w:rPr>
          <w:rFonts w:ascii="Times New Roman" w:hAnsi="Times New Roman" w:cs="Times New Roman"/>
          <w:sz w:val="28"/>
          <w:szCs w:val="28"/>
        </w:rPr>
        <w:t xml:space="preserve"> настоящего Порядка решение об использовании этих средств на цели предоставления субсидии в текущем финансовом году (далее </w:t>
      </w:r>
      <w:r w:rsidR="00247CA6">
        <w:rPr>
          <w:rFonts w:ascii="Times New Roman" w:hAnsi="Times New Roman" w:cs="Times New Roman"/>
          <w:sz w:val="28"/>
          <w:szCs w:val="28"/>
        </w:rPr>
        <w:t>–</w:t>
      </w:r>
      <w:r w:rsidRPr="0083369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247CA6">
        <w:rPr>
          <w:rFonts w:ascii="Times New Roman" w:hAnsi="Times New Roman" w:cs="Times New Roman"/>
          <w:sz w:val="28"/>
          <w:szCs w:val="28"/>
        </w:rPr>
        <w:t xml:space="preserve"> </w:t>
      </w:r>
      <w:r w:rsidRPr="0083369F">
        <w:rPr>
          <w:rFonts w:ascii="Times New Roman" w:hAnsi="Times New Roman" w:cs="Times New Roman"/>
          <w:sz w:val="28"/>
          <w:szCs w:val="28"/>
        </w:rPr>
        <w:t>об использовании остатка субсидии);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м) порядок и сроки предоставления юридическим лицом отчетности о расходах, источником финансового обеспечения которых является субсидия </w:t>
      </w:r>
      <w:r w:rsidR="00181605">
        <w:rPr>
          <w:rFonts w:ascii="Times New Roman" w:hAnsi="Times New Roman" w:cs="Times New Roman"/>
          <w:sz w:val="28"/>
          <w:szCs w:val="28"/>
        </w:rPr>
        <w:t>(</w:t>
      </w:r>
      <w:r w:rsidRPr="0083369F">
        <w:rPr>
          <w:rFonts w:ascii="Times New Roman" w:hAnsi="Times New Roman" w:cs="Times New Roman"/>
          <w:sz w:val="28"/>
          <w:szCs w:val="28"/>
        </w:rPr>
        <w:t>при предоставлении субсидии на осуществление капитальных вложений и (или) на приобретение объектов недвижимого имущества</w:t>
      </w:r>
      <w:r w:rsidR="00181605">
        <w:rPr>
          <w:rFonts w:ascii="Times New Roman" w:hAnsi="Times New Roman" w:cs="Times New Roman"/>
          <w:sz w:val="28"/>
          <w:szCs w:val="28"/>
        </w:rPr>
        <w:t>)</w:t>
      </w:r>
      <w:r w:rsidRPr="0083369F">
        <w:rPr>
          <w:rFonts w:ascii="Times New Roman" w:hAnsi="Times New Roman" w:cs="Times New Roman"/>
          <w:sz w:val="28"/>
          <w:szCs w:val="28"/>
        </w:rPr>
        <w:t>, о достижении значений показателей результативности предоставления субсидии;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н) право получателя средств бюджета Республики Татарстан на проведение проверок соблюдения юридическим лицом условий, определенных договором;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о) ответственность юридического лица за нарушение условий, определенных договором;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п) обязанность юридического лица по возврату соответствующих средств в бюджет Республики Татарстан в случае установления по итогам проверок, проведенных получателем средств бюджета Республики Татарстан и уполномоченными органами государственного финансового контроля, факта нарушения целей, условий и порядка предоставления субсидии.</w:t>
      </w:r>
    </w:p>
    <w:p w:rsidR="0083369F" w:rsidRPr="00E752A7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 xml:space="preserve">8. Юридическое лицо представляет получателю средств бюджета Республики Татарстан отчетность о расходах, источником финансового обеспечения которых является субсидия при предоставлении субсидии на осуществление капитальных вложений и (или) на приобретение объектов недвижимого имущества, о достижении юридическим лицом значений показателей результативности предоставления субсидии в сроки, определенные договором, при условии, что отчетность об указанных расходах представляется не реже одного раза в год не позднее 20-го рабочего дня по окончании </w:t>
      </w:r>
      <w:r w:rsidRPr="00E752A7">
        <w:rPr>
          <w:rFonts w:ascii="Times New Roman" w:hAnsi="Times New Roman" w:cs="Times New Roman"/>
          <w:sz w:val="28"/>
          <w:szCs w:val="28"/>
        </w:rPr>
        <w:t>отчетного года.</w:t>
      </w:r>
    </w:p>
    <w:p w:rsidR="00525F57" w:rsidRPr="00E752A7" w:rsidRDefault="00525F57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A7">
        <w:rPr>
          <w:rFonts w:ascii="Times New Roman" w:hAnsi="Times New Roman" w:cs="Times New Roman"/>
          <w:sz w:val="28"/>
          <w:szCs w:val="28"/>
        </w:rPr>
        <w:t xml:space="preserve">9. Общий (предельный) размер субсидии не может быть установлен выше сметной стоимости объекта капитального строительства </w:t>
      </w:r>
      <w:r w:rsidR="00F71AC6" w:rsidRPr="00E752A7">
        <w:rPr>
          <w:rFonts w:ascii="Times New Roman" w:hAnsi="Times New Roman" w:cs="Times New Roman"/>
          <w:sz w:val="28"/>
          <w:szCs w:val="28"/>
        </w:rPr>
        <w:t xml:space="preserve">без учета налога на добавленную стоимость </w:t>
      </w:r>
      <w:r w:rsidRPr="00E752A7">
        <w:rPr>
          <w:rFonts w:ascii="Times New Roman" w:hAnsi="Times New Roman" w:cs="Times New Roman"/>
          <w:sz w:val="28"/>
          <w:szCs w:val="28"/>
        </w:rPr>
        <w:t>(при наличии утвержденной проектной документации) или предполагаемой (предельной) стоимости объекта капитального строительства без учета налога на добавленную стоимость и (или) стоимости приобретения объекта недвижимого имущества согласно паспорту инвестиционного проекта без учета налога на добавленную стоимость (в ценах соответствующих лет реализации инвестиционного проекта).</w:t>
      </w:r>
    </w:p>
    <w:p w:rsidR="0083369F" w:rsidRPr="0083369F" w:rsidRDefault="003F5FDE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A7">
        <w:rPr>
          <w:rFonts w:ascii="Times New Roman" w:hAnsi="Times New Roman" w:cs="Times New Roman"/>
          <w:sz w:val="28"/>
          <w:szCs w:val="28"/>
        </w:rPr>
        <w:t>10</w:t>
      </w:r>
      <w:r w:rsidR="0083369F" w:rsidRPr="00E752A7">
        <w:rPr>
          <w:rFonts w:ascii="Times New Roman" w:hAnsi="Times New Roman" w:cs="Times New Roman"/>
          <w:sz w:val="28"/>
          <w:szCs w:val="28"/>
        </w:rPr>
        <w:t>. Уполномоченный орган исполнительной власти Республики Татарстан, осу</w:t>
      </w:r>
      <w:r w:rsidR="0083369F" w:rsidRPr="0083369F">
        <w:rPr>
          <w:rFonts w:ascii="Times New Roman" w:hAnsi="Times New Roman" w:cs="Times New Roman"/>
          <w:sz w:val="28"/>
          <w:szCs w:val="28"/>
        </w:rPr>
        <w:t xml:space="preserve">ществляющий от имени Республики Татарстан права акционера (участника) юридического лица, и получатель средств бюджета Республики Татарстан не позднее трех месяцев со дня </w:t>
      </w:r>
      <w:r w:rsidR="00326242">
        <w:rPr>
          <w:rFonts w:ascii="Times New Roman" w:hAnsi="Times New Roman" w:cs="Times New Roman"/>
          <w:sz w:val="28"/>
          <w:szCs w:val="28"/>
        </w:rPr>
        <w:t>ввода</w:t>
      </w:r>
      <w:r w:rsidR="0083369F" w:rsidRPr="0083369F">
        <w:rPr>
          <w:rFonts w:ascii="Times New Roman" w:hAnsi="Times New Roman" w:cs="Times New Roman"/>
          <w:sz w:val="28"/>
          <w:szCs w:val="28"/>
        </w:rPr>
        <w:t xml:space="preserve"> в эксплуатацию объекта капитального строительства или приобретения объекта недвижимого имущества, осуществляет действия, направленные </w:t>
      </w:r>
      <w:r w:rsidR="0083369F" w:rsidRPr="0083369F">
        <w:rPr>
          <w:rFonts w:ascii="Times New Roman" w:hAnsi="Times New Roman" w:cs="Times New Roman"/>
          <w:sz w:val="28"/>
          <w:szCs w:val="28"/>
        </w:rPr>
        <w:lastRenderedPageBreak/>
        <w:t>на увеличение уставного капитала юридического лица в порядке, установленном законодательством Российской Федерации.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83369F">
        <w:rPr>
          <w:rFonts w:ascii="Times New Roman" w:hAnsi="Times New Roman" w:cs="Times New Roman"/>
          <w:sz w:val="28"/>
          <w:szCs w:val="28"/>
        </w:rPr>
        <w:t>1</w:t>
      </w:r>
      <w:r w:rsidR="003F5FDE">
        <w:rPr>
          <w:rFonts w:ascii="Times New Roman" w:hAnsi="Times New Roman" w:cs="Times New Roman"/>
          <w:sz w:val="28"/>
          <w:szCs w:val="28"/>
        </w:rPr>
        <w:t>1</w:t>
      </w:r>
      <w:r w:rsidRPr="0083369F">
        <w:rPr>
          <w:rFonts w:ascii="Times New Roman" w:hAnsi="Times New Roman" w:cs="Times New Roman"/>
          <w:sz w:val="28"/>
          <w:szCs w:val="28"/>
        </w:rPr>
        <w:t>. Не использованный в течение отчетного финансового года остаток субсидии (за исключением субсидии на возмещение затрат и субсидии, предоставляемой в пределах суммы, необходимой для оплаты денежных обязательств юридического лица, источником финансового обеспечения которых является указанная субсидия) подлежит возврату юридическим лицом в бюджет Республики Татарстан, если получателем средств бюджета Республики Татарстан не принято решение об использовании остатка субсидии.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В решение об использовании остатка субсидии включается один или несколько объектов капитального строительства и (или) объектов недвижимого имущества.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Решение об использовании остатка субсидии подлежит согласованию с Министерством финансов Республики Татарстан. Решение об использовании остатка субсидии представляется в Министерство финансов Республики Татарстан вместе с пояснительной запиской, содержащей обоснование необходимости его принятия.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1</w:t>
      </w:r>
      <w:r w:rsidR="003F5FDE">
        <w:rPr>
          <w:rFonts w:ascii="Times New Roman" w:hAnsi="Times New Roman" w:cs="Times New Roman"/>
          <w:sz w:val="28"/>
          <w:szCs w:val="28"/>
        </w:rPr>
        <w:t>2</w:t>
      </w:r>
      <w:r w:rsidRPr="0083369F">
        <w:rPr>
          <w:rFonts w:ascii="Times New Roman" w:hAnsi="Times New Roman" w:cs="Times New Roman"/>
          <w:sz w:val="28"/>
          <w:szCs w:val="28"/>
        </w:rPr>
        <w:t>. Получатель средств бюджета Республики Татарстан и органы государственного финансового контроля проводят проверки соблюдения юридическим лицом порядка, целей и условий предоставления субсидий.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1</w:t>
      </w:r>
      <w:r w:rsidR="003F5FDE">
        <w:rPr>
          <w:rFonts w:ascii="Times New Roman" w:hAnsi="Times New Roman" w:cs="Times New Roman"/>
          <w:sz w:val="28"/>
          <w:szCs w:val="28"/>
        </w:rPr>
        <w:t>3</w:t>
      </w:r>
      <w:r w:rsidRPr="0083369F">
        <w:rPr>
          <w:rFonts w:ascii="Times New Roman" w:hAnsi="Times New Roman" w:cs="Times New Roman"/>
          <w:sz w:val="28"/>
          <w:szCs w:val="28"/>
        </w:rPr>
        <w:t>. В случае установления получателем средств бюджета Республики Татарстан или органами государственного финансового контроля факта нарушения юридическим лицом порядка, целей и условий предоставления субсидии соответствующие средства подлежат возврату юридическим лицом в бюджет Республики Татарстан: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а) на основании требования получателя средств бюджета Республики Татарстан не позднее 30-го рабочего дня со дня получения указанного требования юридическим лицом;</w:t>
      </w:r>
    </w:p>
    <w:p w:rsidR="0083369F" w:rsidRPr="0083369F" w:rsidRDefault="0083369F" w:rsidP="00247CA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69F">
        <w:rPr>
          <w:rFonts w:ascii="Times New Roman" w:hAnsi="Times New Roman" w:cs="Times New Roman"/>
          <w:sz w:val="28"/>
          <w:szCs w:val="28"/>
        </w:rPr>
        <w:t>б) на основании представления и (или) предписания органа государственного финансового контроля в сроки, установленные в соответствии с бюджетным законодательством Российской Федерации.</w:t>
      </w:r>
    </w:p>
    <w:p w:rsidR="0083369F" w:rsidRPr="0083369F" w:rsidRDefault="0083369F" w:rsidP="00247CA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00D7" w:rsidRPr="0083369F" w:rsidRDefault="00C700D7" w:rsidP="0083369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100 процентов акций (долей)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принадлежат Республике Татарстан, на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 вложений в объекты капитального 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собственности указанных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находящиеся в собственности указанных юридических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или в государственной (муниципальной) собственности),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 приобретение ими объектов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увеличением уставных капиталов 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 об объемах причитающихся субсидий в _____ году</w:t>
      </w: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992"/>
        <w:gridCol w:w="992"/>
        <w:gridCol w:w="1276"/>
        <w:gridCol w:w="1076"/>
        <w:gridCol w:w="1380"/>
        <w:gridCol w:w="1380"/>
      </w:tblGrid>
      <w:tr w:rsidR="00C700D7" w:rsidRPr="00C700D7" w:rsidTr="0041587C">
        <w:trPr>
          <w:trHeight w:val="422"/>
        </w:trPr>
        <w:tc>
          <w:tcPr>
            <w:tcW w:w="426" w:type="dxa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(адрес строительства)</w:t>
            </w:r>
          </w:p>
        </w:tc>
        <w:tc>
          <w:tcPr>
            <w:tcW w:w="1418" w:type="dxa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Вид строительства (строительство, модернизация, реконструкция)</w:t>
            </w:r>
          </w:p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4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Объем денежных средств, предусмотренных на строительство, модернизацию и (или) реконструкцию объектов, руб.</w:t>
            </w:r>
          </w:p>
        </w:tc>
        <w:tc>
          <w:tcPr>
            <w:tcW w:w="1380" w:type="dxa"/>
            <w:vMerge w:val="restart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Объем субсидий, выделенных в предыдущих периодах </w:t>
            </w:r>
          </w:p>
        </w:tc>
        <w:tc>
          <w:tcPr>
            <w:tcW w:w="1380" w:type="dxa"/>
            <w:vMerge w:val="restart"/>
            <w:vAlign w:val="center"/>
          </w:tcPr>
          <w:p w:rsidR="00C700D7" w:rsidRPr="00C700D7" w:rsidRDefault="00C700D7" w:rsidP="003262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Объем планируемой субсидии на возмещение  затрат по строительству, модернизации и (или) реконструкции объектов</w:t>
            </w:r>
            <w:r w:rsidR="002F2F75">
              <w:rPr>
                <w:rFonts w:ascii="Times New Roman" w:hAnsi="Times New Roman" w:cs="Times New Roman"/>
                <w:sz w:val="16"/>
                <w:szCs w:val="16"/>
              </w:rPr>
              <w:t xml:space="preserve"> (без НДС)</w:t>
            </w: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</w:tr>
      <w:tr w:rsidR="00C700D7" w:rsidRPr="00C700D7" w:rsidTr="0041587C">
        <w:trPr>
          <w:trHeight w:val="221"/>
        </w:trPr>
        <w:tc>
          <w:tcPr>
            <w:tcW w:w="426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gridSpan w:val="3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380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0D7" w:rsidRPr="00C700D7" w:rsidTr="0041587C">
        <w:trPr>
          <w:trHeight w:val="1319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Собственные средства заявителя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0D7" w:rsidRPr="00C700D7" w:rsidTr="0041587C">
        <w:trPr>
          <w:trHeight w:val="210"/>
        </w:trPr>
        <w:tc>
          <w:tcPr>
            <w:tcW w:w="426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6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0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00D7" w:rsidRPr="00C700D7" w:rsidTr="0041587C">
        <w:trPr>
          <w:trHeight w:val="210"/>
        </w:trPr>
        <w:tc>
          <w:tcPr>
            <w:tcW w:w="42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0D7" w:rsidRPr="00C700D7" w:rsidTr="0041587C">
        <w:trPr>
          <w:trHeight w:val="210"/>
        </w:trPr>
        <w:tc>
          <w:tcPr>
            <w:tcW w:w="42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0D7">
        <w:rPr>
          <w:rFonts w:ascii="Times New Roman" w:hAnsi="Times New Roman" w:cs="Times New Roman"/>
        </w:rPr>
        <w:br w:type="page"/>
      </w:r>
    </w:p>
    <w:tbl>
      <w:tblPr>
        <w:tblStyle w:val="aa"/>
        <w:tblW w:w="10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426"/>
        <w:gridCol w:w="425"/>
        <w:gridCol w:w="425"/>
        <w:gridCol w:w="567"/>
        <w:gridCol w:w="567"/>
        <w:gridCol w:w="567"/>
        <w:gridCol w:w="709"/>
        <w:gridCol w:w="1134"/>
        <w:gridCol w:w="1134"/>
        <w:gridCol w:w="992"/>
        <w:gridCol w:w="900"/>
        <w:gridCol w:w="1134"/>
      </w:tblGrid>
      <w:tr w:rsidR="00C700D7" w:rsidRPr="00C700D7" w:rsidTr="0041587C">
        <w:trPr>
          <w:trHeight w:val="1813"/>
        </w:trPr>
        <w:tc>
          <w:tcPr>
            <w:tcW w:w="236" w:type="dxa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82" w:type="dxa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Свидетельство о праве собственности земельного участка</w:t>
            </w:r>
          </w:p>
        </w:tc>
        <w:tc>
          <w:tcPr>
            <w:tcW w:w="3686" w:type="dxa"/>
            <w:gridSpan w:val="7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строительства, модернизации и (или) реконструкции объекта, утвержденная в техническом задании на проведение работ по строительству, модернизации и (или) реконструкции объекта, руб.*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Нормативный срок строительства в соответствии с техническим заданием на проведение работ по строительству, модернизации и (или) реконструкции объекта*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положительного заключения </w:t>
            </w:r>
            <w:proofErr w:type="spellStart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гос.экспертизы</w:t>
            </w:r>
            <w:proofErr w:type="spellEnd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 проектной документации (дата, номер)*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Реквизиты заключения гос. экологической экспертизы (дата, номер) (указывается при необходимости проведения)*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Реквизиты положительного заключения о достоверности определения сметной стоимости объекта строительства (дата, номер)*</w:t>
            </w:r>
          </w:p>
        </w:tc>
        <w:tc>
          <w:tcPr>
            <w:tcW w:w="1134" w:type="dxa"/>
            <w:vMerge w:val="restart"/>
            <w:textDirection w:val="btL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Проектирование</w:t>
            </w:r>
          </w:p>
        </w:tc>
      </w:tr>
      <w:tr w:rsidR="00C700D7" w:rsidRPr="00C700D7" w:rsidTr="0041587C">
        <w:trPr>
          <w:trHeight w:val="418"/>
        </w:trPr>
        <w:tc>
          <w:tcPr>
            <w:tcW w:w="236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60" w:type="dxa"/>
            <w:gridSpan w:val="6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0D7" w:rsidRPr="00C700D7" w:rsidTr="0041587C">
        <w:trPr>
          <w:cantSplit/>
          <w:trHeight w:val="4344"/>
        </w:trPr>
        <w:tc>
          <w:tcPr>
            <w:tcW w:w="236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авторский надзор, в </w:t>
            </w:r>
            <w:proofErr w:type="spellStart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т.ч.НДС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Госэкспертиза</w:t>
            </w:r>
            <w:proofErr w:type="spellEnd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 проектной документации, в </w:t>
            </w:r>
            <w:proofErr w:type="spellStart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т.ч.НДС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Гос.экспертиза</w:t>
            </w:r>
            <w:proofErr w:type="spellEnd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 достоверности сметной документации, в </w:t>
            </w:r>
            <w:proofErr w:type="spellStart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т.ч.НДС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.ПИР, в </w:t>
            </w:r>
            <w:proofErr w:type="spellStart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т.ч.НДС</w:t>
            </w:r>
            <w:proofErr w:type="spellEnd"/>
          </w:p>
        </w:tc>
        <w:tc>
          <w:tcPr>
            <w:tcW w:w="567" w:type="dxa"/>
            <w:textDirection w:val="btL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СМР, в </w:t>
            </w:r>
            <w:proofErr w:type="spellStart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т.ч.НДС</w:t>
            </w:r>
            <w:proofErr w:type="spellEnd"/>
          </w:p>
        </w:tc>
        <w:tc>
          <w:tcPr>
            <w:tcW w:w="709" w:type="dxa"/>
            <w:textDirection w:val="btL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 xml:space="preserve">и др., в </w:t>
            </w:r>
            <w:proofErr w:type="spellStart"/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т.ч.НДС</w:t>
            </w:r>
            <w:proofErr w:type="spellEnd"/>
          </w:p>
        </w:tc>
        <w:tc>
          <w:tcPr>
            <w:tcW w:w="1134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Утверждение контракта на проектирование*</w:t>
            </w:r>
          </w:p>
        </w:tc>
      </w:tr>
      <w:tr w:rsidR="00C700D7" w:rsidRPr="00C700D7" w:rsidTr="0041587C">
        <w:trPr>
          <w:trHeight w:val="214"/>
        </w:trPr>
        <w:tc>
          <w:tcPr>
            <w:tcW w:w="236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700D7" w:rsidRPr="00C700D7" w:rsidTr="0041587C">
        <w:trPr>
          <w:trHeight w:val="214"/>
        </w:trPr>
        <w:tc>
          <w:tcPr>
            <w:tcW w:w="23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0D7" w:rsidRPr="00C700D7" w:rsidTr="0041587C">
        <w:trPr>
          <w:trHeight w:val="214"/>
        </w:trPr>
        <w:tc>
          <w:tcPr>
            <w:tcW w:w="23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0D7">
        <w:rPr>
          <w:rFonts w:ascii="Times New Roman" w:hAnsi="Times New Roman" w:cs="Times New Roman"/>
        </w:rPr>
        <w:br w:type="page"/>
      </w:r>
    </w:p>
    <w:tbl>
      <w:tblPr>
        <w:tblStyle w:val="aa"/>
        <w:tblW w:w="104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7"/>
        <w:gridCol w:w="1428"/>
        <w:gridCol w:w="1560"/>
        <w:gridCol w:w="1275"/>
        <w:gridCol w:w="1134"/>
        <w:gridCol w:w="1418"/>
        <w:gridCol w:w="1368"/>
        <w:gridCol w:w="672"/>
        <w:gridCol w:w="1005"/>
      </w:tblGrid>
      <w:tr w:rsidR="00C700D7" w:rsidRPr="00C700D7" w:rsidTr="0041587C">
        <w:trPr>
          <w:trHeight w:val="238"/>
        </w:trPr>
        <w:tc>
          <w:tcPr>
            <w:tcW w:w="557" w:type="dxa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28" w:type="dxa"/>
            <w:vMerge w:val="restart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Дата и номер заключения контракта на СМР*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Стоимость строительства в соответствии с заключением о проверке достоверности определения сметной стоимости объекта, руб.*</w:t>
            </w:r>
          </w:p>
        </w:tc>
        <w:tc>
          <w:tcPr>
            <w:tcW w:w="1134" w:type="dxa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Способ размещения закупки</w:t>
            </w:r>
          </w:p>
        </w:tc>
        <w:tc>
          <w:tcPr>
            <w:tcW w:w="1418" w:type="dxa"/>
            <w:vMerge w:val="restart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Экономия, сложившаяся в результате проведения закупок, тыс.руб.*</w:t>
            </w:r>
          </w:p>
        </w:tc>
        <w:tc>
          <w:tcPr>
            <w:tcW w:w="3045" w:type="dxa"/>
            <w:gridSpan w:val="3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Строительство*</w:t>
            </w:r>
          </w:p>
        </w:tc>
      </w:tr>
      <w:tr w:rsidR="00C700D7" w:rsidRPr="00C700D7" w:rsidTr="0041587C">
        <w:trPr>
          <w:trHeight w:val="256"/>
        </w:trPr>
        <w:tc>
          <w:tcPr>
            <w:tcW w:w="557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Получение разрешения на строительство, реконструкцию</w:t>
            </w:r>
          </w:p>
        </w:tc>
        <w:tc>
          <w:tcPr>
            <w:tcW w:w="1677" w:type="dxa"/>
            <w:gridSpan w:val="2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</w:tr>
      <w:tr w:rsidR="00C700D7" w:rsidRPr="00C700D7" w:rsidTr="0041587C">
        <w:trPr>
          <w:trHeight w:val="1730"/>
        </w:trPr>
        <w:tc>
          <w:tcPr>
            <w:tcW w:w="557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базисный уровень (2001г.)</w:t>
            </w:r>
          </w:p>
        </w:tc>
        <w:tc>
          <w:tcPr>
            <w:tcW w:w="1275" w:type="dxa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текущий уровень цен</w:t>
            </w:r>
          </w:p>
        </w:tc>
        <w:tc>
          <w:tcPr>
            <w:tcW w:w="1134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1005" w:type="dxa"/>
            <w:textDirection w:val="btLr"/>
            <w:vAlign w:val="center"/>
          </w:tcPr>
          <w:p w:rsidR="00C700D7" w:rsidRPr="00C700D7" w:rsidRDefault="00C700D7" w:rsidP="00C700D7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</w:tr>
      <w:tr w:rsidR="00C700D7" w:rsidRPr="00C700D7" w:rsidTr="0041587C">
        <w:trPr>
          <w:trHeight w:val="238"/>
        </w:trPr>
        <w:tc>
          <w:tcPr>
            <w:tcW w:w="557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68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72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05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C700D7" w:rsidRPr="00C700D7" w:rsidTr="0041587C">
        <w:trPr>
          <w:trHeight w:val="238"/>
        </w:trPr>
        <w:tc>
          <w:tcPr>
            <w:tcW w:w="55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0D7" w:rsidRPr="00C700D7" w:rsidTr="0041587C">
        <w:trPr>
          <w:trHeight w:val="238"/>
        </w:trPr>
        <w:tc>
          <w:tcPr>
            <w:tcW w:w="55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0D7">
        <w:rPr>
          <w:rFonts w:ascii="Times New Roman" w:hAnsi="Times New Roman" w:cs="Times New Roman"/>
        </w:rPr>
        <w:br w:type="page"/>
      </w: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432"/>
        <w:gridCol w:w="2687"/>
        <w:gridCol w:w="4820"/>
        <w:gridCol w:w="2126"/>
      </w:tblGrid>
      <w:tr w:rsidR="00C700D7" w:rsidRPr="00C700D7" w:rsidTr="0041587C">
        <w:trPr>
          <w:trHeight w:val="2641"/>
        </w:trPr>
        <w:tc>
          <w:tcPr>
            <w:tcW w:w="432" w:type="dxa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687" w:type="dxa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Техническая готовность объекта капитального строительства на конец отчетного периода, %</w:t>
            </w:r>
          </w:p>
        </w:tc>
        <w:tc>
          <w:tcPr>
            <w:tcW w:w="4820" w:type="dxa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Планируемая дата получения заключения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модернизируемого и (или) реконструируемого объекта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настоящего Кодекса (месяц, год) (заполняется в случае необходимости получения)</w:t>
            </w:r>
          </w:p>
        </w:tc>
        <w:tc>
          <w:tcPr>
            <w:tcW w:w="2126" w:type="dxa"/>
            <w:vAlign w:val="center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Срок ввода объекта в эксплуатацию в соответствии с заключенным контрактом*</w:t>
            </w:r>
          </w:p>
        </w:tc>
      </w:tr>
      <w:tr w:rsidR="00C700D7" w:rsidRPr="00C700D7" w:rsidTr="0041587C">
        <w:tc>
          <w:tcPr>
            <w:tcW w:w="432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20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126" w:type="dxa"/>
          </w:tcPr>
          <w:p w:rsidR="00C700D7" w:rsidRPr="00C700D7" w:rsidRDefault="00C700D7" w:rsidP="00C700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D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C700D7" w:rsidRPr="00C700D7" w:rsidTr="0041587C">
        <w:tc>
          <w:tcPr>
            <w:tcW w:w="43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0D7" w:rsidRPr="00C700D7" w:rsidTr="0041587C">
        <w:tc>
          <w:tcPr>
            <w:tcW w:w="432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700D7" w:rsidRPr="00C700D7" w:rsidRDefault="00C700D7" w:rsidP="00C700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подписи)</w:t>
      </w: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F7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700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 года</w:t>
      </w:r>
    </w:p>
    <w:p w:rsidR="00C700D7" w:rsidRP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700D7" w:rsidRDefault="00C700D7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1E53" w:rsidRDefault="00247CA6" w:rsidP="00247C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</w:t>
      </w:r>
    </w:p>
    <w:p w:rsidR="00B41E53" w:rsidRDefault="00B41E53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1E53" w:rsidRPr="00C700D7" w:rsidRDefault="00B41E53" w:rsidP="00C700D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00D7" w:rsidRPr="00C700D7" w:rsidRDefault="00C700D7" w:rsidP="00C700D7">
      <w:pPr>
        <w:spacing w:after="160" w:line="259" w:lineRule="auto"/>
      </w:pPr>
    </w:p>
    <w:p w:rsidR="00C700D7" w:rsidRDefault="00C700D7" w:rsidP="00BF5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D36" w:rsidRDefault="00BF5D36" w:rsidP="00BF5D36">
      <w:pPr>
        <w:pStyle w:val="ConsPlusNormal"/>
        <w:spacing w:line="2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D36" w:rsidRDefault="00BF5D36" w:rsidP="00147193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14F" w:rsidRDefault="00D4514F" w:rsidP="00451EE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E24" w:rsidRPr="001001D5" w:rsidRDefault="00FC4E24" w:rsidP="00451EE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C4E24" w:rsidRPr="001001D5" w:rsidSect="00BA2B6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80B73"/>
    <w:multiLevelType w:val="hybridMultilevel"/>
    <w:tmpl w:val="D012F59C"/>
    <w:lvl w:ilvl="0" w:tplc="B79A3E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001A5D"/>
    <w:rsid w:val="00030132"/>
    <w:rsid w:val="00073B0B"/>
    <w:rsid w:val="00080D32"/>
    <w:rsid w:val="00087B39"/>
    <w:rsid w:val="00094C19"/>
    <w:rsid w:val="000C273E"/>
    <w:rsid w:val="000D26D6"/>
    <w:rsid w:val="000E3D30"/>
    <w:rsid w:val="000E4474"/>
    <w:rsid w:val="000E642D"/>
    <w:rsid w:val="001001D5"/>
    <w:rsid w:val="00102E1E"/>
    <w:rsid w:val="001264E3"/>
    <w:rsid w:val="001268FC"/>
    <w:rsid w:val="00127FE5"/>
    <w:rsid w:val="00135DBD"/>
    <w:rsid w:val="00141229"/>
    <w:rsid w:val="0014270C"/>
    <w:rsid w:val="00144E8A"/>
    <w:rsid w:val="00145B2A"/>
    <w:rsid w:val="00147193"/>
    <w:rsid w:val="0016413A"/>
    <w:rsid w:val="001714C3"/>
    <w:rsid w:val="00176D44"/>
    <w:rsid w:val="00181605"/>
    <w:rsid w:val="001818C9"/>
    <w:rsid w:val="00192489"/>
    <w:rsid w:val="0019344D"/>
    <w:rsid w:val="001971FE"/>
    <w:rsid w:val="001A1128"/>
    <w:rsid w:val="001B7AF8"/>
    <w:rsid w:val="001C42F2"/>
    <w:rsid w:val="001E34F8"/>
    <w:rsid w:val="001E5563"/>
    <w:rsid w:val="001F55EC"/>
    <w:rsid w:val="00203C08"/>
    <w:rsid w:val="00217C97"/>
    <w:rsid w:val="00247CA6"/>
    <w:rsid w:val="00261E58"/>
    <w:rsid w:val="00262A77"/>
    <w:rsid w:val="00286223"/>
    <w:rsid w:val="002D7E7A"/>
    <w:rsid w:val="002F2F75"/>
    <w:rsid w:val="00303A53"/>
    <w:rsid w:val="0030434E"/>
    <w:rsid w:val="003067D3"/>
    <w:rsid w:val="0030715D"/>
    <w:rsid w:val="00326242"/>
    <w:rsid w:val="00381628"/>
    <w:rsid w:val="00392AB8"/>
    <w:rsid w:val="003A246B"/>
    <w:rsid w:val="003A4954"/>
    <w:rsid w:val="003B544B"/>
    <w:rsid w:val="003C1EDB"/>
    <w:rsid w:val="003C37CC"/>
    <w:rsid w:val="003F18CE"/>
    <w:rsid w:val="003F5FDE"/>
    <w:rsid w:val="004009EB"/>
    <w:rsid w:val="0041587C"/>
    <w:rsid w:val="00437EFC"/>
    <w:rsid w:val="004505B8"/>
    <w:rsid w:val="00451EE7"/>
    <w:rsid w:val="00467BFB"/>
    <w:rsid w:val="00472549"/>
    <w:rsid w:val="00472A02"/>
    <w:rsid w:val="00475223"/>
    <w:rsid w:val="004876D0"/>
    <w:rsid w:val="004962A6"/>
    <w:rsid w:val="004A2A5D"/>
    <w:rsid w:val="004C2642"/>
    <w:rsid w:val="004C3745"/>
    <w:rsid w:val="005054DD"/>
    <w:rsid w:val="0050798C"/>
    <w:rsid w:val="005143C5"/>
    <w:rsid w:val="00525F57"/>
    <w:rsid w:val="00535901"/>
    <w:rsid w:val="00540B7E"/>
    <w:rsid w:val="0055706A"/>
    <w:rsid w:val="00557474"/>
    <w:rsid w:val="00560142"/>
    <w:rsid w:val="0056234D"/>
    <w:rsid w:val="005655CF"/>
    <w:rsid w:val="005746C3"/>
    <w:rsid w:val="005961B6"/>
    <w:rsid w:val="005A7BA1"/>
    <w:rsid w:val="005B4B52"/>
    <w:rsid w:val="005B4EEB"/>
    <w:rsid w:val="005D1003"/>
    <w:rsid w:val="005E1BCC"/>
    <w:rsid w:val="005F08D4"/>
    <w:rsid w:val="006160BC"/>
    <w:rsid w:val="00616D82"/>
    <w:rsid w:val="00637F51"/>
    <w:rsid w:val="006434CE"/>
    <w:rsid w:val="006440A0"/>
    <w:rsid w:val="006663A3"/>
    <w:rsid w:val="00667DFB"/>
    <w:rsid w:val="00687BE3"/>
    <w:rsid w:val="00692A28"/>
    <w:rsid w:val="006A6EC0"/>
    <w:rsid w:val="006C58BF"/>
    <w:rsid w:val="006C7963"/>
    <w:rsid w:val="006D7231"/>
    <w:rsid w:val="006D76AD"/>
    <w:rsid w:val="006E13BD"/>
    <w:rsid w:val="006E4A82"/>
    <w:rsid w:val="006E5391"/>
    <w:rsid w:val="006F07DA"/>
    <w:rsid w:val="00704A6A"/>
    <w:rsid w:val="00710AC2"/>
    <w:rsid w:val="00711433"/>
    <w:rsid w:val="007168BE"/>
    <w:rsid w:val="007173F4"/>
    <w:rsid w:val="00732837"/>
    <w:rsid w:val="007468E9"/>
    <w:rsid w:val="00751647"/>
    <w:rsid w:val="00770BA2"/>
    <w:rsid w:val="00770C1D"/>
    <w:rsid w:val="00772060"/>
    <w:rsid w:val="0077571E"/>
    <w:rsid w:val="00775E04"/>
    <w:rsid w:val="0078403C"/>
    <w:rsid w:val="007938C9"/>
    <w:rsid w:val="007A7BF2"/>
    <w:rsid w:val="007B683D"/>
    <w:rsid w:val="007D0F31"/>
    <w:rsid w:val="007F7D38"/>
    <w:rsid w:val="00805D34"/>
    <w:rsid w:val="008215D2"/>
    <w:rsid w:val="0083369F"/>
    <w:rsid w:val="008437E0"/>
    <w:rsid w:val="00846AA4"/>
    <w:rsid w:val="008525F3"/>
    <w:rsid w:val="00854B19"/>
    <w:rsid w:val="00861206"/>
    <w:rsid w:val="00863C02"/>
    <w:rsid w:val="008940E6"/>
    <w:rsid w:val="008A34F7"/>
    <w:rsid w:val="008B4811"/>
    <w:rsid w:val="008C0DAC"/>
    <w:rsid w:val="008D1307"/>
    <w:rsid w:val="008F70CA"/>
    <w:rsid w:val="00917FD5"/>
    <w:rsid w:val="00932E54"/>
    <w:rsid w:val="00937C53"/>
    <w:rsid w:val="009540B7"/>
    <w:rsid w:val="00966990"/>
    <w:rsid w:val="00983D04"/>
    <w:rsid w:val="00985523"/>
    <w:rsid w:val="009957E7"/>
    <w:rsid w:val="00996B95"/>
    <w:rsid w:val="009A31BF"/>
    <w:rsid w:val="009A589F"/>
    <w:rsid w:val="009C516F"/>
    <w:rsid w:val="009D6515"/>
    <w:rsid w:val="009E2508"/>
    <w:rsid w:val="009F19A3"/>
    <w:rsid w:val="009F4DC0"/>
    <w:rsid w:val="00A00046"/>
    <w:rsid w:val="00A064DF"/>
    <w:rsid w:val="00A10A8F"/>
    <w:rsid w:val="00A13E82"/>
    <w:rsid w:val="00A168E6"/>
    <w:rsid w:val="00A32810"/>
    <w:rsid w:val="00A36B28"/>
    <w:rsid w:val="00A475B3"/>
    <w:rsid w:val="00A6671D"/>
    <w:rsid w:val="00A6788B"/>
    <w:rsid w:val="00A924DF"/>
    <w:rsid w:val="00AA7433"/>
    <w:rsid w:val="00AA769B"/>
    <w:rsid w:val="00AB44AC"/>
    <w:rsid w:val="00AC79BE"/>
    <w:rsid w:val="00AD1355"/>
    <w:rsid w:val="00B013DF"/>
    <w:rsid w:val="00B03ED7"/>
    <w:rsid w:val="00B0510B"/>
    <w:rsid w:val="00B35DA8"/>
    <w:rsid w:val="00B41E53"/>
    <w:rsid w:val="00B4461B"/>
    <w:rsid w:val="00B53A73"/>
    <w:rsid w:val="00B6177C"/>
    <w:rsid w:val="00B70167"/>
    <w:rsid w:val="00B70820"/>
    <w:rsid w:val="00B710EF"/>
    <w:rsid w:val="00B76136"/>
    <w:rsid w:val="00B77F6C"/>
    <w:rsid w:val="00B80DE0"/>
    <w:rsid w:val="00B84A79"/>
    <w:rsid w:val="00B966E5"/>
    <w:rsid w:val="00B9671E"/>
    <w:rsid w:val="00BA2B66"/>
    <w:rsid w:val="00BA7F8C"/>
    <w:rsid w:val="00BB6F1F"/>
    <w:rsid w:val="00BC2BF9"/>
    <w:rsid w:val="00BD298E"/>
    <w:rsid w:val="00BE7DC1"/>
    <w:rsid w:val="00BF5D36"/>
    <w:rsid w:val="00C12FCC"/>
    <w:rsid w:val="00C36205"/>
    <w:rsid w:val="00C5138F"/>
    <w:rsid w:val="00C51FF0"/>
    <w:rsid w:val="00C5601D"/>
    <w:rsid w:val="00C700D7"/>
    <w:rsid w:val="00C70F06"/>
    <w:rsid w:val="00C800BC"/>
    <w:rsid w:val="00C80B3D"/>
    <w:rsid w:val="00C85F53"/>
    <w:rsid w:val="00C91C77"/>
    <w:rsid w:val="00CE271A"/>
    <w:rsid w:val="00CE42DA"/>
    <w:rsid w:val="00D03CE4"/>
    <w:rsid w:val="00D4514F"/>
    <w:rsid w:val="00D86A9B"/>
    <w:rsid w:val="00D9145C"/>
    <w:rsid w:val="00D950B1"/>
    <w:rsid w:val="00DA011D"/>
    <w:rsid w:val="00DB23D7"/>
    <w:rsid w:val="00DD0268"/>
    <w:rsid w:val="00DD0BF8"/>
    <w:rsid w:val="00DE2539"/>
    <w:rsid w:val="00DE6AC0"/>
    <w:rsid w:val="00DF23AC"/>
    <w:rsid w:val="00DF3D3C"/>
    <w:rsid w:val="00E16CAF"/>
    <w:rsid w:val="00E17F7C"/>
    <w:rsid w:val="00E40400"/>
    <w:rsid w:val="00E459A4"/>
    <w:rsid w:val="00E53DD8"/>
    <w:rsid w:val="00E752A7"/>
    <w:rsid w:val="00E816E0"/>
    <w:rsid w:val="00E85F7A"/>
    <w:rsid w:val="00E85FB8"/>
    <w:rsid w:val="00E95C72"/>
    <w:rsid w:val="00E96FED"/>
    <w:rsid w:val="00ED190E"/>
    <w:rsid w:val="00ED5D56"/>
    <w:rsid w:val="00ED7A3A"/>
    <w:rsid w:val="00ED7C43"/>
    <w:rsid w:val="00EF3C33"/>
    <w:rsid w:val="00EF4939"/>
    <w:rsid w:val="00EF6192"/>
    <w:rsid w:val="00F03916"/>
    <w:rsid w:val="00F119EF"/>
    <w:rsid w:val="00F20BB8"/>
    <w:rsid w:val="00F21688"/>
    <w:rsid w:val="00F22BB5"/>
    <w:rsid w:val="00F23DDC"/>
    <w:rsid w:val="00F2457B"/>
    <w:rsid w:val="00F36AF8"/>
    <w:rsid w:val="00F421AA"/>
    <w:rsid w:val="00F5234D"/>
    <w:rsid w:val="00F55FDE"/>
    <w:rsid w:val="00F6444A"/>
    <w:rsid w:val="00F71AC6"/>
    <w:rsid w:val="00F866F4"/>
    <w:rsid w:val="00FA192B"/>
    <w:rsid w:val="00FC17FA"/>
    <w:rsid w:val="00FC1886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D57AE-DA0A-45D6-ABC6-F8A85C08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7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A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D02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02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02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02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0268"/>
    <w:rPr>
      <w:b/>
      <w:bCs/>
      <w:sz w:val="20"/>
      <w:szCs w:val="20"/>
    </w:rPr>
  </w:style>
  <w:style w:type="table" w:styleId="aa">
    <w:name w:val="Table Grid"/>
    <w:basedOn w:val="a1"/>
    <w:uiPriority w:val="39"/>
    <w:rsid w:val="00C7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145279319EF9C56B3D8682DCC75A2BBC97A11121847403474F7D26D9446A7BDA2897E86E0B38811534497A62248944B1298A19D38EX47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D30E-E387-4834-AC61-D1F345D8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Климентьевна Бадыгина</dc:creator>
  <cp:lastModifiedBy>Анжела Климентьевна Бадыгина</cp:lastModifiedBy>
  <cp:revision>5</cp:revision>
  <cp:lastPrinted>2019-04-15T10:57:00Z</cp:lastPrinted>
  <dcterms:created xsi:type="dcterms:W3CDTF">2020-06-10T08:45:00Z</dcterms:created>
  <dcterms:modified xsi:type="dcterms:W3CDTF">2020-06-10T13:56:00Z</dcterms:modified>
</cp:coreProperties>
</file>