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C0B08">
      <w:pPr>
        <w:pStyle w:val="1"/>
      </w:pPr>
      <w:r>
        <w:fldChar w:fldCharType="begin"/>
      </w:r>
      <w:r>
        <w:instrText>HYPERLINK "garantF1://70204288.0"</w:instrText>
      </w:r>
      <w:r>
        <w:fldChar w:fldCharType="separate"/>
      </w:r>
      <w:r>
        <w:rPr>
          <w:rStyle w:val="a4"/>
        </w:rPr>
        <w:t>Приказ Министерства культуры РФ от 11 января 2013 г. N 5</w:t>
      </w:r>
      <w:r>
        <w:rPr>
          <w:rStyle w:val="a4"/>
        </w:rPr>
        <w:br/>
        <w:t>"О порядке использования в 2013 - 2015 годах бюджетных ассигнований, предусмотренных Министерству культуры Российской Федерац</w:t>
      </w:r>
      <w:r>
        <w:rPr>
          <w:rStyle w:val="a4"/>
        </w:rPr>
        <w:t>ии в целях реализации подведомственными учреждениями культуры подпункта "а" пункта 1 и подпункта "а" пункта 2 Указа Президента Российской Федерации от 7 мая 2012 г. N 597 "О мероприятиях по реализации государственной социальной политики"</w:t>
      </w:r>
      <w:r>
        <w:fldChar w:fldCharType="end"/>
      </w:r>
    </w:p>
    <w:p w:rsidR="00000000" w:rsidRDefault="008C0B08"/>
    <w:p w:rsidR="00000000" w:rsidRDefault="008C0B08">
      <w:r>
        <w:t xml:space="preserve">В целях реализации </w:t>
      </w:r>
      <w:hyperlink r:id="rId5" w:history="1">
        <w:r>
          <w:rPr>
            <w:rStyle w:val="a4"/>
          </w:rPr>
          <w:t>статьи 158</w:t>
        </w:r>
      </w:hyperlink>
      <w:r>
        <w:t xml:space="preserve"> Бюджетного кодекса Российской Федерации</w:t>
      </w:r>
      <w:hyperlink w:anchor="sub_1111" w:history="1">
        <w:r>
          <w:rPr>
            <w:rStyle w:val="a4"/>
          </w:rPr>
          <w:t>*</w:t>
        </w:r>
      </w:hyperlink>
      <w:r>
        <w:t xml:space="preserve">, </w:t>
      </w:r>
      <w:hyperlink r:id="rId6" w:history="1">
        <w:r>
          <w:rPr>
            <w:rStyle w:val="a4"/>
          </w:rPr>
          <w:t>подпункта "а" пункта 1</w:t>
        </w:r>
      </w:hyperlink>
      <w:r>
        <w:t xml:space="preserve"> и </w:t>
      </w:r>
      <w:hyperlink r:id="rId7" w:history="1">
        <w:r>
          <w:rPr>
            <w:rStyle w:val="a4"/>
          </w:rPr>
          <w:t>подпункта "а" пункта 2</w:t>
        </w:r>
      </w:hyperlink>
      <w:r>
        <w:t xml:space="preserve"> Указа Президента Российской Федерации от 7 мая 2012 г. N 597 "О мероприятиях по реализации государственной социальной политики" (Собрание законодательства Российской Федерации, 2012, N 19, ст. 2334) и в соответствии с полномочиями, возложенными на Министе</w:t>
      </w:r>
      <w:r>
        <w:t xml:space="preserve">рство культуры Российской Федерации </w:t>
      </w:r>
      <w:hyperlink r:id="rId8" w:history="1">
        <w:r>
          <w:rPr>
            <w:rStyle w:val="a4"/>
          </w:rPr>
          <w:t>Положением</w:t>
        </w:r>
      </w:hyperlink>
      <w:r>
        <w:t xml:space="preserve"> о Министерстве культуры Российской Федерации, утвержденным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июля 2011 г. N 590 (</w:t>
      </w:r>
      <w:r>
        <w:t>Собрание законодательства Российской Федерации, 2011, N 31, ст. 4758) приказываю:</w:t>
      </w:r>
    </w:p>
    <w:p w:rsidR="00000000" w:rsidRDefault="008C0B08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использования в 2013 - 2015 годах бюджетных ассигнований, предусмотренных Министерству культуры Российской Фед</w:t>
      </w:r>
      <w:r>
        <w:t xml:space="preserve">ерации в целях реализации подведомственными учреждениями культуры </w:t>
      </w:r>
      <w:hyperlink r:id="rId10" w:history="1">
        <w:r>
          <w:rPr>
            <w:rStyle w:val="a4"/>
          </w:rPr>
          <w:t>подпункта "а" пункта 1</w:t>
        </w:r>
      </w:hyperlink>
      <w:r>
        <w:t xml:space="preserve"> и </w:t>
      </w:r>
      <w:hyperlink r:id="rId11" w:history="1">
        <w:r>
          <w:rPr>
            <w:rStyle w:val="a4"/>
          </w:rPr>
          <w:t>подпункта "а" пункта 2</w:t>
        </w:r>
      </w:hyperlink>
      <w:r>
        <w:t xml:space="preserve"> Указа Президента Российской Федерации от 7 мая 2012 г. N 597 "О мероп</w:t>
      </w:r>
      <w:r>
        <w:t>риятиях по реализации государственной социальной политики".</w:t>
      </w:r>
    </w:p>
    <w:p w:rsidR="00000000" w:rsidRDefault="008C0B08">
      <w:bookmarkStart w:id="2" w:name="sub_2"/>
      <w:bookmarkEnd w:id="1"/>
      <w:r>
        <w:t>2. Контроль за исполнением настоящего приказа возложить на заместителя Министра культуры Российской Федерации Малакова Н.А.</w:t>
      </w:r>
    </w:p>
    <w:bookmarkEnd w:id="2"/>
    <w:p w:rsidR="00000000" w:rsidRDefault="008C0B0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B08">
            <w:pPr>
              <w:pStyle w:val="afff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B08">
            <w:pPr>
              <w:pStyle w:val="aff6"/>
              <w:jc w:val="right"/>
            </w:pPr>
            <w:r>
              <w:t>В.Р. Мединский</w:t>
            </w:r>
          </w:p>
        </w:tc>
      </w:tr>
    </w:tbl>
    <w:p w:rsidR="00000000" w:rsidRDefault="008C0B08"/>
    <w:p w:rsidR="00000000" w:rsidRDefault="008C0B08">
      <w:r>
        <w:t>_____________________________</w:t>
      </w:r>
    </w:p>
    <w:p w:rsidR="00000000" w:rsidRDefault="008C0B08">
      <w:bookmarkStart w:id="3" w:name="sub_1111"/>
      <w:r>
        <w:t>* Собрание законодательства Российской Федерации, 1998, N 31, ст. 3823; 2007, N 18, ст. 2117; 2010, N 19, ст. 2291</w:t>
      </w:r>
    </w:p>
    <w:bookmarkEnd w:id="3"/>
    <w:p w:rsidR="00000000" w:rsidRDefault="008C0B08"/>
    <w:p w:rsidR="00000000" w:rsidRDefault="008C0B08">
      <w:pPr>
        <w:pStyle w:val="afff"/>
      </w:pPr>
      <w:r>
        <w:t>Зарегистрировано в Минюсте РФ 22 января 2013 г.</w:t>
      </w:r>
    </w:p>
    <w:p w:rsidR="00000000" w:rsidRDefault="008C0B08">
      <w:pPr>
        <w:pStyle w:val="afff"/>
      </w:pPr>
      <w:r>
        <w:t>Регистрационный N 26654</w:t>
      </w:r>
    </w:p>
    <w:p w:rsidR="00000000" w:rsidRDefault="008C0B08"/>
    <w:p w:rsidR="00000000" w:rsidRDefault="008C0B08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</w:t>
      </w:r>
      <w:r>
        <w:rPr>
          <w:rStyle w:val="a3"/>
        </w:rPr>
        <w:t>Министерства культуры РФ</w:t>
      </w:r>
      <w:r>
        <w:rPr>
          <w:rStyle w:val="a3"/>
        </w:rPr>
        <w:br/>
        <w:t>от 11 января 2013 г. N 5</w:t>
      </w:r>
    </w:p>
    <w:bookmarkEnd w:id="4"/>
    <w:p w:rsidR="00000000" w:rsidRDefault="008C0B08"/>
    <w:p w:rsidR="00000000" w:rsidRDefault="008C0B08">
      <w:pPr>
        <w:pStyle w:val="1"/>
      </w:pPr>
      <w:r>
        <w:t>Порядок</w:t>
      </w:r>
      <w:r>
        <w:br/>
        <w:t xml:space="preserve"> использования в 2013 - 2015 годах бюджетных ассигнований, предусмотренных Министерству культуры Российской Федерации в целях реализации подведомственными учреждениями культуры подпункта "а</w:t>
      </w:r>
      <w:r>
        <w:t>" пункта 1 и подпункта "а" пункта 2 Указа Президента Российской Федерации от 7 мая 2012 г. N 597 "О мероприятиях по реализации государственной социальной политики"</w:t>
      </w:r>
    </w:p>
    <w:p w:rsidR="00000000" w:rsidRDefault="008C0B08"/>
    <w:p w:rsidR="00000000" w:rsidRDefault="008C0B08">
      <w:bookmarkStart w:id="5" w:name="sub_1001"/>
      <w:r>
        <w:t>1. Настоящий порядок (далее - Порядок) определяет использование Министерством культ</w:t>
      </w:r>
      <w:r>
        <w:t xml:space="preserve">уры Российской Федерации (далее - Министерство) бюджетных ассигнований, предусмотренных Министерству в целях реализации подведомственными учреждениями культуры </w:t>
      </w:r>
      <w:hyperlink r:id="rId12" w:history="1">
        <w:r>
          <w:rPr>
            <w:rStyle w:val="a4"/>
          </w:rPr>
          <w:t>подпункта "а" пункта 1</w:t>
        </w:r>
      </w:hyperlink>
      <w:r>
        <w:t xml:space="preserve"> и </w:t>
      </w:r>
      <w:hyperlink r:id="rId13" w:history="1">
        <w:r>
          <w:rPr>
            <w:rStyle w:val="a4"/>
          </w:rPr>
          <w:t>п</w:t>
        </w:r>
        <w:r>
          <w:rPr>
            <w:rStyle w:val="a4"/>
          </w:rPr>
          <w:t xml:space="preserve">одпункта "а" </w:t>
        </w:r>
        <w:r>
          <w:rPr>
            <w:rStyle w:val="a4"/>
          </w:rPr>
          <w:lastRenderedPageBreak/>
          <w:t>пункта 2</w:t>
        </w:r>
      </w:hyperlink>
      <w:r>
        <w:t xml:space="preserve"> Указа Президента Российской Федерации от 7 мая 2012 г. N 597 "О мероприятиях по реализации государственной социальной политики" (далее - Указ).</w:t>
      </w:r>
    </w:p>
    <w:p w:rsidR="00000000" w:rsidRDefault="008C0B08">
      <w:bookmarkStart w:id="6" w:name="sub_1002"/>
      <w:bookmarkEnd w:id="5"/>
      <w:r>
        <w:t>2. Министерство осуществляет доведение в установленном порядке бюджетны</w:t>
      </w:r>
      <w:r>
        <w:t xml:space="preserve">х ассигнований, указанных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порядка, подведомственным федеральным государственным бюджетным учреждениям культуры (далее - Учреждения).</w:t>
      </w:r>
    </w:p>
    <w:p w:rsidR="00000000" w:rsidRDefault="008C0B08">
      <w:bookmarkStart w:id="7" w:name="sub_1003"/>
      <w:bookmarkEnd w:id="6"/>
      <w:r>
        <w:t xml:space="preserve">3. Распределение бюджетных ассигнований, указанных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Порядка, осуществляется в приоритетном порядке на повышение оплаты труда низкооплачиваемых категорий квалифицированных работников культуры, включая библиотечных работников и сотрудников музеев.</w:t>
      </w:r>
    </w:p>
    <w:p w:rsidR="00000000" w:rsidRDefault="008C0B08">
      <w:bookmarkStart w:id="8" w:name="sub_1004"/>
      <w:bookmarkEnd w:id="7"/>
      <w:r>
        <w:t>4. Объем средств выдел</w:t>
      </w:r>
      <w:r>
        <w:t xml:space="preserve">яемых, для каждого учреждения по основанию, указанному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Порядка, определяется по следующей формуле:</w:t>
      </w:r>
    </w:p>
    <w:bookmarkEnd w:id="8"/>
    <w:p w:rsidR="00000000" w:rsidRDefault="008C0B08"/>
    <w:p w:rsidR="00000000" w:rsidRDefault="008C0B08">
      <w:bookmarkStart w:id="9" w:name="sub_10041"/>
      <w:r>
        <w:t>БАучр3i = (CЗi х ИП - СЗучрi) х Чучрi х 12, где</w:t>
      </w:r>
    </w:p>
    <w:bookmarkEnd w:id="9"/>
    <w:p w:rsidR="00000000" w:rsidRDefault="008C0B08"/>
    <w:p w:rsidR="00000000" w:rsidRDefault="008C0B08">
      <w:r>
        <w:t>BAyчp3i - объем дополнительных средств, выде</w:t>
      </w:r>
      <w:r>
        <w:t xml:space="preserve">ляемых Учреждению по основанию, предусмотренному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Порядка в i-том субъекте Российской Федерации;</w:t>
      </w:r>
    </w:p>
    <w:p w:rsidR="00000000" w:rsidRDefault="008C0B08">
      <w:r>
        <w:t xml:space="preserve">CЗi - средняя заработная плата в i-том субъекте Российской Федерации, на территории которого расположено Учреждение (филиал </w:t>
      </w:r>
      <w:r>
        <w:t>или иное обособленное подразделение) на текущий год;</w:t>
      </w:r>
    </w:p>
    <w:p w:rsidR="00000000" w:rsidRDefault="008C0B08">
      <w:r>
        <w:t xml:space="preserve">ИП - индикативный показатель соотношения средней заработной платы работников Учреждений и средней заработной платы в субъектах Российской Федерации, согласно </w:t>
      </w:r>
      <w:hyperlink r:id="rId14" w:history="1">
        <w:r>
          <w:rPr>
            <w:rStyle w:val="a4"/>
          </w:rPr>
          <w:t>подпункта</w:t>
        </w:r>
        <w:r>
          <w:rPr>
            <w:rStyle w:val="a4"/>
          </w:rPr>
          <w:t xml:space="preserve"> 1 пункта 2 раздела IV</w:t>
        </w:r>
      </w:hyperlink>
      <w:r>
        <w:t xml:space="preserve"> "Плана мероприятий ("дорожной карты") "Изменения в отраслях социальной сферы, направленные на эффективность сферы культуры", утвержденного </w:t>
      </w:r>
      <w:hyperlink r:id="rId1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28 </w:t>
      </w:r>
      <w:r>
        <w:t>декабря 2012 г. N 2606-р;</w:t>
      </w:r>
    </w:p>
    <w:p w:rsidR="00000000" w:rsidRDefault="008C0B08">
      <w:r>
        <w:t>С3учрi - фактический уровень средней заработной платы работников Учреждения в i-том субъекте Российской Федерации по итогам предыдущего года в соответствии с Методикой расчета фактического уровня средней заработной платы отдельных</w:t>
      </w:r>
      <w:r>
        <w:t xml:space="preserve"> категорий работников, определенных указами, по отношению к средней заработной плате в соответствующем субъекте Российской Федерации, утвержденной </w:t>
      </w:r>
      <w:hyperlink r:id="rId16" w:history="1">
        <w:r>
          <w:rPr>
            <w:rStyle w:val="a4"/>
          </w:rPr>
          <w:t>Приложением N 5</w:t>
        </w:r>
      </w:hyperlink>
      <w:r>
        <w:t xml:space="preserve"> к Программе поэтапного совершенствования системы оплаты </w:t>
      </w:r>
      <w:r>
        <w:t xml:space="preserve">труда в государственных (муниципальных) учреждениях на 2012 - 2018 годы, утвержденной </w:t>
      </w:r>
      <w:hyperlink r:id="rId17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 ноября 2012 г. N 2190-р (далее - Программа) (Собрание законодательства Российск</w:t>
      </w:r>
      <w:r>
        <w:t>ой Федерации, 2012, N 49, ст. 6909);</w:t>
      </w:r>
    </w:p>
    <w:p w:rsidR="00000000" w:rsidRDefault="008C0B08">
      <w:r>
        <w:t>Чi - среднесписочная численность работников Учреждения, работающих на территории i-того субъекта Российской Федерации по итогам предыдущего года.</w:t>
      </w:r>
    </w:p>
    <w:p w:rsidR="00000000" w:rsidRDefault="008C0B08"/>
    <w:p w:rsidR="00000000" w:rsidRDefault="008C0B08">
      <w:bookmarkStart w:id="10" w:name="sub_1005"/>
      <w:r>
        <w:t>5. Оставшиеся средства распределяются между Учреждениями по форм</w:t>
      </w:r>
      <w:r>
        <w:t>уле:</w:t>
      </w:r>
    </w:p>
    <w:bookmarkEnd w:id="10"/>
    <w:p w:rsidR="00000000" w:rsidRDefault="008C0B08"/>
    <w:p w:rsidR="00000000" w:rsidRDefault="004003E4">
      <w:pPr>
        <w:ind w:firstLine="698"/>
        <w:jc w:val="center"/>
      </w:pPr>
      <w:bookmarkStart w:id="11" w:name="sub_10051"/>
      <w:r>
        <w:rPr>
          <w:noProof/>
        </w:rPr>
        <w:drawing>
          <wp:inline distT="0" distB="0" distL="0" distR="0">
            <wp:extent cx="26098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B08">
        <w:t>, где</w:t>
      </w:r>
    </w:p>
    <w:bookmarkEnd w:id="11"/>
    <w:p w:rsidR="00000000" w:rsidRDefault="008C0B08"/>
    <w:p w:rsidR="00000000" w:rsidRDefault="008C0B08">
      <w:r>
        <w:t xml:space="preserve">БАучр5 - объем дополнительных средств, выделяемых Учреждению по основанию, предусмотренному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Порядка;</w:t>
      </w:r>
    </w:p>
    <w:p w:rsidR="00000000" w:rsidRDefault="008C0B08">
      <w:r>
        <w:t>БАсумм - общий объем бюджетных ассигнований,</w:t>
      </w:r>
      <w:r>
        <w:t xml:space="preserve"> предусмотренных Министерству в целях реализации учреждениями </w:t>
      </w:r>
      <w:hyperlink r:id="rId19" w:history="1">
        <w:r>
          <w:rPr>
            <w:rStyle w:val="a4"/>
          </w:rPr>
          <w:t>подпункта "а" пункта 1</w:t>
        </w:r>
      </w:hyperlink>
      <w:r>
        <w:t xml:space="preserve"> Указа, за </w:t>
      </w:r>
      <w:r>
        <w:lastRenderedPageBreak/>
        <w:t xml:space="preserve">минусом средств, распределенных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Порядка;</w:t>
      </w:r>
    </w:p>
    <w:p w:rsidR="00000000" w:rsidRDefault="008C0B08">
      <w:r>
        <w:t>Чсуммi - суммарная среднесписоч</w:t>
      </w:r>
      <w:r>
        <w:t>ная численность работников, занятых в Учреждениях i-того субъекта Российской Федерации по итогам предыдущего года;</w:t>
      </w:r>
    </w:p>
    <w:p w:rsidR="00000000" w:rsidRDefault="008C0B08">
      <w:r>
        <w:t xml:space="preserve">Чучрi - суммарная среднесписочная численность работников Учреждения, работающих на территории i-того субъекта Российской Федерации по итогам </w:t>
      </w:r>
      <w:r>
        <w:t>предыдущего года;</w:t>
      </w:r>
    </w:p>
    <w:p w:rsidR="00000000" w:rsidRDefault="008C0B08">
      <w:r>
        <w:t>C3i - средняя заработная плата в i-том субъекте Российской Федерации, на территории которого расположено Учреждение (филиал или иное обособленное подразделение) на текущий год.</w:t>
      </w:r>
    </w:p>
    <w:p w:rsidR="00000000" w:rsidRDefault="008C0B08"/>
    <w:p w:rsidR="00000000" w:rsidRDefault="008C0B08">
      <w:bookmarkStart w:id="12" w:name="sub_1006"/>
      <w:r>
        <w:t>6. Условием получения Учреждениями бюджетных ассигно</w:t>
      </w:r>
      <w:r>
        <w:t xml:space="preserve">ваний, предусмотренных Учреждениям в соответствии с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Порядка, является выполнение показателей эффективности работы Учреждений.</w:t>
      </w:r>
    </w:p>
    <w:p w:rsidR="00000000" w:rsidRDefault="008C0B08">
      <w:bookmarkStart w:id="13" w:name="sub_1007"/>
      <w:bookmarkEnd w:id="12"/>
      <w:r>
        <w:t>7. Доведение бюджетных ассигнований до Учреждений осуществляется в виде субсид</w:t>
      </w:r>
      <w:r>
        <w:t>ий на выполнение государственного задания.</w:t>
      </w:r>
    </w:p>
    <w:p w:rsidR="00000000" w:rsidRDefault="008C0B08">
      <w:bookmarkStart w:id="14" w:name="sub_1008"/>
      <w:bookmarkEnd w:id="13"/>
      <w:r>
        <w:t xml:space="preserve">8. Доведение бюджетных ассигнований, предусмотренных Учреждению в соответствии с </w:t>
      </w:r>
      <w:hyperlink w:anchor="sub_100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порядка, производится при условии разработки и согласования с Министерством Учреждением плана мероприятий по повышению эффективности деятельности Учреждения в части оказания государственных услуг (выполнения работ) на основе целевых показателей деятельнос</w:t>
      </w:r>
      <w:r>
        <w:t>ти, совершенствованию системы оплаты труда, включая мероприятия по повышению оплаты труда соответствующих категорий работников.</w:t>
      </w:r>
    </w:p>
    <w:p w:rsidR="00000000" w:rsidRDefault="008C0B08">
      <w:bookmarkStart w:id="15" w:name="sub_1009"/>
      <w:bookmarkEnd w:id="14"/>
      <w:r>
        <w:t xml:space="preserve">9. Доведение бюджетных ассигнований, предусмотренных Учреждению в соответствии с </w:t>
      </w:r>
      <w:hyperlink w:anchor="sub_1005" w:history="1">
        <w:r>
          <w:rPr>
            <w:rStyle w:val="a4"/>
          </w:rPr>
          <w:t xml:space="preserve">пунктом </w:t>
        </w:r>
        <w:r>
          <w:rPr>
            <w:rStyle w:val="a4"/>
          </w:rPr>
          <w:t>5</w:t>
        </w:r>
      </w:hyperlink>
      <w:r>
        <w:t xml:space="preserve"> порядка, производится ежеквартально по истечению квартала в размере:</w:t>
      </w:r>
    </w:p>
    <w:bookmarkEnd w:id="15"/>
    <w:p w:rsidR="00000000" w:rsidRDefault="008C0B08"/>
    <w:p w:rsidR="00000000" w:rsidRDefault="008C0B08">
      <w:bookmarkStart w:id="16" w:name="sub_10091"/>
      <w:r>
        <w:t>БАучр5кв = БАучр5/4 * Кэф, где</w:t>
      </w:r>
    </w:p>
    <w:bookmarkEnd w:id="16"/>
    <w:p w:rsidR="00000000" w:rsidRDefault="008C0B08"/>
    <w:p w:rsidR="00000000" w:rsidRDefault="008C0B08">
      <w:r>
        <w:t xml:space="preserve">БАучр5кв - квартальный объем дополнительных средств, выделяемых Учреждению по основанию, предусмотренному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Порядка;</w:t>
      </w:r>
    </w:p>
    <w:p w:rsidR="00000000" w:rsidRDefault="008C0B08">
      <w:r>
        <w:t xml:space="preserve">БАучр5 - объем дополнительных средств, выделяемых Учреждению по основанию, предусмотренному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Порядка;</w:t>
      </w:r>
    </w:p>
    <w:p w:rsidR="00000000" w:rsidRDefault="008C0B08">
      <w:r>
        <w:t>Кэф - коэффициент эффективности работы Учреждения за истекший квартал, рассчитанный н</w:t>
      </w:r>
      <w:r>
        <w:t>а основании выполнения целевых показателей эффективности работы Учреждений.</w:t>
      </w:r>
    </w:p>
    <w:p w:rsidR="00000000" w:rsidRDefault="008C0B08"/>
    <w:p w:rsidR="00000000" w:rsidRDefault="008C0B08">
      <w:bookmarkStart w:id="17" w:name="sub_1010"/>
      <w:r>
        <w:t>10. Сумма средств, нераспределенных Учреждениям, подлежит распределению между учреждениями пропорционально годовому объему доведенных средств.</w:t>
      </w:r>
    </w:p>
    <w:p w:rsidR="00000000" w:rsidRDefault="008C0B08">
      <w:bookmarkStart w:id="18" w:name="sub_1011"/>
      <w:bookmarkEnd w:id="17"/>
      <w:r>
        <w:t>11. Отчет об</w:t>
      </w:r>
      <w:r>
        <w:t xml:space="preserve"> использовании средств субсидий, выделенных Учреждениям в целях реализации </w:t>
      </w:r>
      <w:hyperlink r:id="rId20" w:history="1">
        <w:r>
          <w:rPr>
            <w:rStyle w:val="a4"/>
          </w:rPr>
          <w:t>подпункта "а" пункта 1</w:t>
        </w:r>
      </w:hyperlink>
      <w:r>
        <w:t xml:space="preserve"> Указа, и соблюдении условий их использования осуществляется в рамках мониторинга выполнения мероприятий </w:t>
      </w:r>
      <w:hyperlink r:id="rId21" w:history="1">
        <w:r>
          <w:rPr>
            <w:rStyle w:val="a4"/>
          </w:rPr>
          <w:t>Программы</w:t>
        </w:r>
      </w:hyperlink>
      <w:r>
        <w:t>.</w:t>
      </w:r>
    </w:p>
    <w:bookmarkEnd w:id="18"/>
    <w:p w:rsidR="008C0B08" w:rsidRDefault="008C0B08"/>
    <w:sectPr w:rsidR="008C0B0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E4"/>
    <w:rsid w:val="004003E4"/>
    <w:rsid w:val="008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unhideWhenUsed/>
    <w:rsid w:val="004003E4"/>
    <w:rPr>
      <w:color w:val="0000FF" w:themeColor="hyperlink"/>
      <w:u w:val="single"/>
    </w:rPr>
  </w:style>
  <w:style w:type="character" w:styleId="affff">
    <w:name w:val="FollowedHyperlink"/>
    <w:basedOn w:val="a0"/>
    <w:uiPriority w:val="99"/>
    <w:semiHidden/>
    <w:unhideWhenUsed/>
    <w:rsid w:val="004003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unhideWhenUsed/>
    <w:rsid w:val="004003E4"/>
    <w:rPr>
      <w:color w:val="0000FF" w:themeColor="hyperlink"/>
      <w:u w:val="single"/>
    </w:rPr>
  </w:style>
  <w:style w:type="character" w:styleId="affff">
    <w:name w:val="FollowedHyperlink"/>
    <w:basedOn w:val="a0"/>
    <w:uiPriority w:val="99"/>
    <w:semiHidden/>
    <w:unhideWhenUsed/>
    <w:rsid w:val="0040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356.200" TargetMode="External"/><Relationship Id="rId13" Type="http://schemas.openxmlformats.org/officeDocument/2006/relationships/hyperlink" Target="garantF1://70070950.15" TargetMode="Externa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hyperlink" Target="garantF1://70169234.60" TargetMode="External"/><Relationship Id="rId7" Type="http://schemas.openxmlformats.org/officeDocument/2006/relationships/hyperlink" Target="garantF1://70070950.15" TargetMode="External"/><Relationship Id="rId12" Type="http://schemas.openxmlformats.org/officeDocument/2006/relationships/hyperlink" Target="garantF1://70070950.1" TargetMode="External"/><Relationship Id="rId17" Type="http://schemas.openxmlformats.org/officeDocument/2006/relationships/hyperlink" Target="garantF1://7016923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169234.57" TargetMode="External"/><Relationship Id="rId20" Type="http://schemas.openxmlformats.org/officeDocument/2006/relationships/hyperlink" Target="garantF1://70070950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70950.1" TargetMode="External"/><Relationship Id="rId11" Type="http://schemas.openxmlformats.org/officeDocument/2006/relationships/hyperlink" Target="garantF1://70070950.15" TargetMode="External"/><Relationship Id="rId5" Type="http://schemas.openxmlformats.org/officeDocument/2006/relationships/hyperlink" Target="garantF1://12012604.158" TargetMode="External"/><Relationship Id="rId15" Type="http://schemas.openxmlformats.org/officeDocument/2006/relationships/hyperlink" Target="garantF1://70192738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070950.1" TargetMode="External"/><Relationship Id="rId19" Type="http://schemas.openxmlformats.org/officeDocument/2006/relationships/hyperlink" Target="garantF1://7007095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8356.0" TargetMode="External"/><Relationship Id="rId14" Type="http://schemas.openxmlformats.org/officeDocument/2006/relationships/hyperlink" Target="garantF1://70192738.14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Ковалева Валерия Юрьевна</cp:lastModifiedBy>
  <cp:revision>2</cp:revision>
  <dcterms:created xsi:type="dcterms:W3CDTF">2014-12-17T10:56:00Z</dcterms:created>
  <dcterms:modified xsi:type="dcterms:W3CDTF">2014-12-17T10:56:00Z</dcterms:modified>
</cp:coreProperties>
</file>