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3C" w:rsidRPr="003C203C" w:rsidRDefault="00695F90" w:rsidP="003C203C">
      <w:pPr>
        <w:pStyle w:val="a4"/>
        <w:shd w:val="clear" w:color="auto" w:fill="FDFDFD"/>
        <w:spacing w:before="0" w:beforeAutospacing="0" w:after="0" w:afterAutospacing="0"/>
        <w:jc w:val="center"/>
        <w:textAlignment w:val="baseline"/>
        <w:rPr>
          <w:b/>
          <w:bCs/>
          <w:color w:val="111111"/>
          <w:sz w:val="23"/>
          <w:szCs w:val="23"/>
        </w:rPr>
      </w:pPr>
      <w:r w:rsidRPr="00695F90">
        <w:rPr>
          <w:b/>
          <w:bCs/>
          <w:color w:val="111111"/>
          <w:sz w:val="23"/>
          <w:szCs w:val="23"/>
        </w:rPr>
        <w:t xml:space="preserve">Справка о правилах </w:t>
      </w:r>
      <w:r w:rsidR="003C203C" w:rsidRPr="003C203C">
        <w:rPr>
          <w:b/>
          <w:bCs/>
          <w:color w:val="111111"/>
          <w:sz w:val="23"/>
          <w:szCs w:val="23"/>
        </w:rPr>
        <w:t>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– 2024 годах субъектам малого и среднего предпринимательства по льготной ставке</w:t>
      </w:r>
    </w:p>
    <w:p w:rsidR="00695F90" w:rsidRDefault="00695F90" w:rsidP="003C203C">
      <w:pPr>
        <w:pStyle w:val="a4"/>
        <w:shd w:val="clear" w:color="auto" w:fill="FDFDFD"/>
        <w:spacing w:before="0" w:beforeAutospacing="0" w:after="0" w:afterAutospacing="0"/>
        <w:jc w:val="center"/>
        <w:textAlignment w:val="baseline"/>
        <w:rPr>
          <w:b/>
          <w:bCs/>
          <w:color w:val="111111"/>
          <w:sz w:val="23"/>
          <w:szCs w:val="23"/>
        </w:rPr>
      </w:pPr>
      <w:r w:rsidRPr="00695F90">
        <w:rPr>
          <w:b/>
          <w:bCs/>
          <w:color w:val="111111"/>
          <w:sz w:val="23"/>
          <w:szCs w:val="23"/>
        </w:rPr>
        <w:t>(</w:t>
      </w:r>
      <w:bookmarkStart w:id="0" w:name="_GoBack"/>
      <w:bookmarkEnd w:id="0"/>
      <w:r w:rsidR="0052109E" w:rsidRPr="0052109E">
        <w:rPr>
          <w:b/>
          <w:bCs/>
          <w:color w:val="111111"/>
          <w:sz w:val="23"/>
          <w:szCs w:val="23"/>
        </w:rPr>
        <w:t>Постановление Правительства РФ от 30.12.2018 N 1764</w:t>
      </w:r>
      <w:r w:rsidR="003C203C">
        <w:rPr>
          <w:b/>
          <w:bCs/>
          <w:color w:val="111111"/>
          <w:sz w:val="23"/>
          <w:szCs w:val="23"/>
        </w:rPr>
        <w:t>)</w:t>
      </w:r>
    </w:p>
    <w:p w:rsidR="003C203C" w:rsidRPr="00695F90" w:rsidRDefault="003C203C" w:rsidP="003C203C">
      <w:pPr>
        <w:pStyle w:val="a4"/>
        <w:shd w:val="clear" w:color="auto" w:fill="FDFDFD"/>
        <w:spacing w:before="0" w:beforeAutospacing="0" w:after="0" w:afterAutospacing="0"/>
        <w:jc w:val="center"/>
        <w:textAlignment w:val="baseline"/>
        <w:rPr>
          <w:color w:val="000000"/>
          <w:sz w:val="23"/>
          <w:szCs w:val="23"/>
        </w:rPr>
      </w:pPr>
    </w:p>
    <w:p w:rsidR="00266C3E" w:rsidRDefault="00695F90" w:rsidP="00266C3E">
      <w:pPr>
        <w:pStyle w:val="a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3"/>
          <w:szCs w:val="23"/>
        </w:rPr>
      </w:pPr>
      <w:proofErr w:type="gramStart"/>
      <w:r w:rsidRPr="00695F90">
        <w:rPr>
          <w:color w:val="000000"/>
          <w:sz w:val="23"/>
          <w:szCs w:val="23"/>
        </w:rPr>
        <w:t xml:space="preserve">Согласно Программе, </w:t>
      </w:r>
      <w:r w:rsidR="003C203C" w:rsidRPr="003C203C">
        <w:rPr>
          <w:bCs/>
          <w:color w:val="000000"/>
          <w:sz w:val="23"/>
          <w:szCs w:val="23"/>
        </w:rPr>
        <w:t>Субсидии предоставляются российским кредитным организациям, отобранным</w:t>
      </w:r>
      <w:r w:rsidR="003C203C">
        <w:rPr>
          <w:bCs/>
          <w:color w:val="000000"/>
          <w:sz w:val="23"/>
          <w:szCs w:val="23"/>
        </w:rPr>
        <w:t xml:space="preserve"> </w:t>
      </w:r>
      <w:r w:rsidR="003C203C" w:rsidRPr="003C203C">
        <w:rPr>
          <w:bCs/>
          <w:color w:val="000000"/>
          <w:sz w:val="23"/>
          <w:szCs w:val="23"/>
        </w:rPr>
        <w:t>в целях обеспечения доступности кредитных ресурсов для субъектов малого и среднего предпринимательства</w:t>
      </w:r>
      <w:r w:rsidR="003C203C" w:rsidRPr="003C203C">
        <w:rPr>
          <w:color w:val="000000"/>
          <w:sz w:val="23"/>
          <w:szCs w:val="23"/>
        </w:rPr>
        <w:t>, соответствующих требованиям настоящих Правил,</w:t>
      </w:r>
      <w:r w:rsidR="003C203C" w:rsidRPr="003C203C">
        <w:rPr>
          <w:bCs/>
          <w:color w:val="000000"/>
          <w:sz w:val="23"/>
          <w:szCs w:val="23"/>
        </w:rPr>
        <w:t xml:space="preserve"> на реализацию проектов, предусматривающих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</w:t>
      </w:r>
      <w:proofErr w:type="gramEnd"/>
      <w:r w:rsidR="003C203C" w:rsidRPr="003C203C">
        <w:rPr>
          <w:bCs/>
          <w:color w:val="000000"/>
          <w:sz w:val="23"/>
          <w:szCs w:val="23"/>
        </w:rPr>
        <w:t xml:space="preserve"> их строительства, реконструкции, модернизации) в одной или нескольких приоритетных отраслях</w:t>
      </w:r>
      <w:r w:rsidR="00266C3E">
        <w:rPr>
          <w:bCs/>
          <w:color w:val="000000"/>
          <w:sz w:val="23"/>
          <w:szCs w:val="23"/>
        </w:rPr>
        <w:t>.</w:t>
      </w:r>
      <w:r w:rsidR="003C203C" w:rsidRPr="003C203C">
        <w:rPr>
          <w:bCs/>
          <w:color w:val="000000"/>
          <w:sz w:val="23"/>
          <w:szCs w:val="23"/>
        </w:rPr>
        <w:t xml:space="preserve"> </w:t>
      </w:r>
    </w:p>
    <w:p w:rsidR="003C203C" w:rsidRPr="003C203C" w:rsidRDefault="003C203C" w:rsidP="00266C3E">
      <w:pPr>
        <w:pStyle w:val="a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proofErr w:type="gramStart"/>
      <w:r w:rsidRPr="003C203C">
        <w:rPr>
          <w:color w:val="000000"/>
          <w:sz w:val="23"/>
          <w:szCs w:val="23"/>
        </w:rPr>
        <w:t xml:space="preserve">Субсидии предоставляются по кредитам, выданным по кредитным договорам, процентная ставка по которым на период предоставления уполномоченному банку субсидии по кредитному договору в соответствии с настоящими Правилами устанавливается </w:t>
      </w:r>
      <w:r w:rsidRPr="003C203C">
        <w:rPr>
          <w:bCs/>
          <w:color w:val="000000"/>
          <w:sz w:val="23"/>
          <w:szCs w:val="23"/>
        </w:rPr>
        <w:t>как ключевая ставка Центрального банка Российской Федерации, действующая на дату заключения кредитного договора (соглашения), увеличенная не более чем на 2 процента годовых, но не более 8,5 процента годовых</w:t>
      </w:r>
      <w:r w:rsidRPr="003C203C">
        <w:rPr>
          <w:color w:val="000000"/>
          <w:sz w:val="23"/>
          <w:szCs w:val="23"/>
        </w:rPr>
        <w:t>.</w:t>
      </w:r>
      <w:proofErr w:type="gramEnd"/>
    </w:p>
    <w:p w:rsidR="008B5CEE" w:rsidRPr="003A4306" w:rsidRDefault="003A4306" w:rsidP="003A4306">
      <w:pPr>
        <w:pStyle w:val="a4"/>
        <w:shd w:val="clear" w:color="auto" w:fill="FDFDFD"/>
        <w:spacing w:before="240" w:beforeAutospacing="0" w:after="240" w:afterAutospacing="0"/>
        <w:ind w:firstLine="708"/>
        <w:jc w:val="both"/>
        <w:textAlignment w:val="baseline"/>
        <w:rPr>
          <w:b/>
        </w:rPr>
      </w:pPr>
      <w:r w:rsidRPr="003A4306">
        <w:rPr>
          <w:b/>
        </w:rPr>
        <w:t>Основные условия Программы</w:t>
      </w:r>
      <w:r w:rsidR="008B5CEE" w:rsidRPr="003A4306">
        <w:rPr>
          <w:b/>
        </w:rPr>
        <w:t>:</w:t>
      </w:r>
    </w:p>
    <w:p w:rsidR="00EE0697" w:rsidRDefault="008B5CEE" w:rsidP="00EE0697">
      <w:pPr>
        <w:pStyle w:val="a4"/>
        <w:numPr>
          <w:ilvl w:val="0"/>
          <w:numId w:val="10"/>
        </w:numPr>
        <w:shd w:val="clear" w:color="auto" w:fill="FDFDFD"/>
        <w:spacing w:before="240" w:beforeAutospacing="0" w:after="240" w:afterAutospacing="0"/>
        <w:jc w:val="both"/>
        <w:textAlignment w:val="baseline"/>
      </w:pPr>
      <w:r>
        <w:t>кредитный договор</w:t>
      </w:r>
      <w:r w:rsidR="00EE0697">
        <w:t xml:space="preserve"> должен быть</w:t>
      </w:r>
      <w:r>
        <w:t xml:space="preserve"> заключен в период</w:t>
      </w:r>
      <w:r w:rsidR="00EE0697">
        <w:t xml:space="preserve"> с 1 января до 30 ноября 201</w:t>
      </w:r>
      <w:r w:rsidR="00AB4AAA">
        <w:t>9</w:t>
      </w:r>
      <w:r w:rsidR="00EE0697">
        <w:t xml:space="preserve"> г.;</w:t>
      </w:r>
      <w:r>
        <w:t xml:space="preserve"> </w:t>
      </w:r>
    </w:p>
    <w:p w:rsidR="00EE0697" w:rsidRDefault="00EE0697" w:rsidP="00EE0697">
      <w:pPr>
        <w:pStyle w:val="a4"/>
        <w:numPr>
          <w:ilvl w:val="0"/>
          <w:numId w:val="10"/>
        </w:numPr>
        <w:shd w:val="clear" w:color="auto" w:fill="FDFDFD"/>
        <w:spacing w:before="240" w:beforeAutospacing="0" w:after="240" w:afterAutospacing="0"/>
        <w:jc w:val="both"/>
        <w:textAlignment w:val="baseline"/>
      </w:pPr>
      <w:r>
        <w:t xml:space="preserve">процентная ставка по кредитному договору должна быть </w:t>
      </w:r>
      <w:r w:rsidRPr="00EE0697">
        <w:t xml:space="preserve">не более </w:t>
      </w:r>
      <w:r w:rsidR="00AB4AAA">
        <w:t>8</w:t>
      </w:r>
      <w:r w:rsidRPr="00EE0697">
        <w:t xml:space="preserve">,5 процента </w:t>
      </w:r>
      <w:proofErr w:type="gramStart"/>
      <w:r w:rsidRPr="00EE0697">
        <w:t>годовых</w:t>
      </w:r>
      <w:proofErr w:type="gramEnd"/>
      <w:r w:rsidRPr="00EE0697">
        <w:t xml:space="preserve"> на период предоставления субсидии по кредитному договору (соглашению);</w:t>
      </w:r>
    </w:p>
    <w:p w:rsidR="00EE0697" w:rsidRPr="00266C3E" w:rsidRDefault="00EE0697" w:rsidP="00EE0697">
      <w:pPr>
        <w:pStyle w:val="a4"/>
        <w:numPr>
          <w:ilvl w:val="0"/>
          <w:numId w:val="10"/>
        </w:numPr>
        <w:shd w:val="clear" w:color="auto" w:fill="FDFDFD"/>
        <w:spacing w:before="240" w:beforeAutospacing="0" w:after="240" w:afterAutospacing="0"/>
        <w:jc w:val="both"/>
        <w:textAlignment w:val="baseline"/>
      </w:pPr>
      <w:r w:rsidRPr="00266C3E">
        <w:t>размер субсидируемой процентной ставки</w:t>
      </w:r>
      <w:r w:rsidR="00486155" w:rsidRPr="00266C3E">
        <w:t xml:space="preserve"> для </w:t>
      </w:r>
      <w:proofErr w:type="gramStart"/>
      <w:r w:rsidR="00486155" w:rsidRPr="00266C3E">
        <w:t>кредитн</w:t>
      </w:r>
      <w:r w:rsidR="000344A1" w:rsidRPr="00266C3E">
        <w:t>ых</w:t>
      </w:r>
      <w:r w:rsidR="00486155" w:rsidRPr="00266C3E">
        <w:t xml:space="preserve"> организаци</w:t>
      </w:r>
      <w:r w:rsidR="000344A1" w:rsidRPr="00266C3E">
        <w:t>й, не включенных в перечень системно значимых кредитных организаций</w:t>
      </w:r>
      <w:r w:rsidRPr="00266C3E">
        <w:t xml:space="preserve"> составит</w:t>
      </w:r>
      <w:proofErr w:type="gramEnd"/>
      <w:r w:rsidRPr="00266C3E">
        <w:t xml:space="preserve"> </w:t>
      </w:r>
      <w:r w:rsidR="000344A1" w:rsidRPr="00266C3E">
        <w:t>1,75-2,75% годовых и для кредитных организаций, включенных в перечень системно значимых кредитных организаций</w:t>
      </w:r>
      <w:r w:rsidRPr="00266C3E">
        <w:t xml:space="preserve"> </w:t>
      </w:r>
      <w:r w:rsidR="000344A1" w:rsidRPr="00266C3E">
        <w:t>1,5-2,5% годовых</w:t>
      </w:r>
      <w:r w:rsidRPr="00266C3E">
        <w:t>;</w:t>
      </w:r>
    </w:p>
    <w:p w:rsidR="00FD19A9" w:rsidRDefault="00FD19A9" w:rsidP="00FD19A9">
      <w:pPr>
        <w:pStyle w:val="a4"/>
        <w:numPr>
          <w:ilvl w:val="0"/>
          <w:numId w:val="10"/>
        </w:numPr>
        <w:shd w:val="clear" w:color="auto" w:fill="FDFDFD"/>
        <w:spacing w:before="240" w:beforeAutospacing="0" w:after="240" w:afterAutospacing="0"/>
        <w:jc w:val="both"/>
        <w:textAlignment w:val="baseline"/>
      </w:pPr>
      <w:r w:rsidRPr="00FD19A9">
        <w:t>цель кредитования - инвестиционные цели или пополнение оборотных средств;</w:t>
      </w:r>
    </w:p>
    <w:p w:rsidR="00FD19A9" w:rsidRDefault="00FD19A9" w:rsidP="00FD19A9">
      <w:pPr>
        <w:pStyle w:val="a4"/>
        <w:numPr>
          <w:ilvl w:val="0"/>
          <w:numId w:val="10"/>
        </w:numPr>
        <w:shd w:val="clear" w:color="auto" w:fill="FDFDFD"/>
        <w:spacing w:before="240" w:beforeAutospacing="0" w:after="240" w:afterAutospacing="0"/>
        <w:jc w:val="both"/>
        <w:textAlignment w:val="baseline"/>
      </w:pPr>
      <w:r w:rsidRPr="00FD19A9">
        <w:t xml:space="preserve">срок льготного кредита не более 10 лет – на инвестиционные цели и не </w:t>
      </w:r>
      <w:r>
        <w:t>более 3 лет – на оборотные цели;</w:t>
      </w:r>
    </w:p>
    <w:p w:rsidR="00F404F2" w:rsidRDefault="00EE0697" w:rsidP="00F404F2">
      <w:pPr>
        <w:pStyle w:val="a4"/>
        <w:numPr>
          <w:ilvl w:val="0"/>
          <w:numId w:val="10"/>
        </w:numPr>
        <w:shd w:val="clear" w:color="auto" w:fill="FDFDFD"/>
        <w:spacing w:before="240" w:beforeAutospacing="0" w:after="240" w:afterAutospacing="0"/>
        <w:jc w:val="both"/>
        <w:textAlignment w:val="baseline"/>
      </w:pPr>
      <w:r>
        <w:t xml:space="preserve">размер кредита на 1 заемщика – от 3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до 1 млрд. руб. на инвестиционные цели, от 3 млн. руб. до 100 млн. руб. - </w:t>
      </w:r>
      <w:r w:rsidR="00FD19A9">
        <w:t>на пополнение оборотных средств.</w:t>
      </w:r>
    </w:p>
    <w:p w:rsidR="00C844AA" w:rsidRDefault="00C844AA" w:rsidP="00C844AA">
      <w:pPr>
        <w:pStyle w:val="a4"/>
        <w:shd w:val="clear" w:color="auto" w:fill="FDFDFD"/>
        <w:spacing w:before="240" w:beforeAutospacing="0" w:after="240" w:afterAutospacing="0"/>
        <w:ind w:left="708"/>
        <w:jc w:val="both"/>
        <w:textAlignment w:val="baseline"/>
      </w:pPr>
      <w:r w:rsidRPr="00C844AA">
        <w:t>Всего в программу вошли 70 банков</w:t>
      </w:r>
      <w:r>
        <w:t xml:space="preserve">. </w:t>
      </w:r>
    </w:p>
    <w:p w:rsidR="00C844AA" w:rsidRPr="00C844AA" w:rsidRDefault="00C844AA" w:rsidP="00C844AA">
      <w:pPr>
        <w:pStyle w:val="a4"/>
        <w:shd w:val="clear" w:color="auto" w:fill="FDFDFD"/>
        <w:spacing w:before="240" w:after="240"/>
        <w:ind w:left="708"/>
        <w:textAlignment w:val="baseline"/>
      </w:pPr>
      <w:r w:rsidRPr="00C844AA">
        <w:t>Перечень уполномоченных банков:</w:t>
      </w:r>
    </w:p>
    <w:tbl>
      <w:tblPr>
        <w:tblW w:w="65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5"/>
        <w:gridCol w:w="5565"/>
      </w:tblGrid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Банк "Левобережный" (ПАО)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ПАО "</w:t>
            </w:r>
            <w:proofErr w:type="spellStart"/>
            <w:r w:rsidRPr="00C844AA">
              <w:t>Промсвязьбанк</w:t>
            </w:r>
            <w:proofErr w:type="spellEnd"/>
            <w:r w:rsidRPr="00C844AA">
              <w:t>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АО "АЛЬФА-БАНК"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4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ООО "</w:t>
            </w:r>
            <w:proofErr w:type="spellStart"/>
            <w:r w:rsidRPr="00C844AA">
              <w:t>Камкомбанк</w:t>
            </w:r>
            <w:proofErr w:type="spellEnd"/>
            <w:r w:rsidRPr="00C844AA">
              <w:t>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5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АО Банк "Национальный стандарт"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6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АО "БАНК ОРЕНБУРГ"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7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ПАО СКБ Приморья "</w:t>
            </w:r>
            <w:proofErr w:type="spellStart"/>
            <w:r w:rsidRPr="00C844AA">
              <w:t>Примсоцбанк</w:t>
            </w:r>
            <w:proofErr w:type="spellEnd"/>
            <w:r w:rsidRPr="00C844AA">
              <w:t>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8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РОСКОМСНАББАНК (ПАО)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9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"</w:t>
            </w:r>
            <w:proofErr w:type="spellStart"/>
            <w:r w:rsidRPr="00C844AA">
              <w:t>СДМ-Банк</w:t>
            </w:r>
            <w:proofErr w:type="spellEnd"/>
            <w:r w:rsidRPr="00C844AA">
              <w:t>" (ПАО)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10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 xml:space="preserve"> ПАО </w:t>
            </w:r>
            <w:proofErr w:type="spellStart"/>
            <w:r w:rsidRPr="00C844AA">
              <w:t>Ставропольпромстройбанк</w:t>
            </w:r>
            <w:proofErr w:type="spellEnd"/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lastRenderedPageBreak/>
              <w:t>11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АО "МСП Банк"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12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Азиатско-Тихоокеанский Банк (ПАО)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13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ООО "</w:t>
            </w:r>
            <w:proofErr w:type="spellStart"/>
            <w:r w:rsidRPr="00C844AA">
              <w:t>Примтеркомбанк</w:t>
            </w:r>
            <w:proofErr w:type="spellEnd"/>
            <w:r w:rsidRPr="00C844AA">
              <w:t>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14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</w:t>
            </w:r>
            <w:proofErr w:type="spellStart"/>
            <w:r w:rsidRPr="00C844AA">
              <w:t>Прио-Внешторгбанк</w:t>
            </w:r>
            <w:proofErr w:type="spellEnd"/>
            <w:r w:rsidRPr="00C844AA">
              <w:t xml:space="preserve"> (ПАО)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15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ТКБ БАНК (ПАО)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16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Банк "Возрождение" (ПАО)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17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КБ "</w:t>
            </w:r>
            <w:proofErr w:type="spellStart"/>
            <w:r w:rsidRPr="00C844AA">
              <w:t>Гарант-Инвест</w:t>
            </w:r>
            <w:proofErr w:type="spellEnd"/>
            <w:r w:rsidRPr="00C844AA">
              <w:t>" (АО)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18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ПАО "Дальневосточный банк"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19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 xml:space="preserve">АО </w:t>
            </w:r>
            <w:proofErr w:type="gramStart"/>
            <w:r w:rsidRPr="00C844AA">
              <w:t>КИБ</w:t>
            </w:r>
            <w:proofErr w:type="gramEnd"/>
            <w:r w:rsidRPr="00C844AA">
              <w:t xml:space="preserve"> "ЕВРОАЛЬЯНС"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20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 ООО КБ "Калуга"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21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ООО КБ "КОЛЬЦО УРАЛА"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22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МОРСКОЙ БАНК (АО)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23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ПАО "НИКО-БАНК"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24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АО "</w:t>
            </w:r>
            <w:proofErr w:type="spellStart"/>
            <w:r w:rsidRPr="00C844AA">
              <w:t>Райффайзенбанк</w:t>
            </w:r>
            <w:proofErr w:type="spellEnd"/>
            <w:r w:rsidRPr="00C844AA">
              <w:t>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25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РНКБ Банк (ПАО)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26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ПАО РОСБАНК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27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АО "</w:t>
            </w:r>
            <w:proofErr w:type="spellStart"/>
            <w:r w:rsidRPr="00C844AA">
              <w:t>Россельхозбанк</w:t>
            </w:r>
            <w:proofErr w:type="spellEnd"/>
            <w:r w:rsidRPr="00C844AA">
              <w:t>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28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ПАО "САРОВБИЗНЕСБАНК"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29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 ПАО Сбербанк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30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ПАО БАНК "СИАБ"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31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 "СИБСОЦБАНК" ООО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32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Банк "</w:t>
            </w:r>
            <w:proofErr w:type="spellStart"/>
            <w:r w:rsidRPr="00C844AA">
              <w:t>Снежинский</w:t>
            </w:r>
            <w:proofErr w:type="spellEnd"/>
            <w:r w:rsidRPr="00C844AA">
              <w:t>" АО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33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ПАО "</w:t>
            </w:r>
            <w:proofErr w:type="spellStart"/>
            <w:r w:rsidRPr="00C844AA">
              <w:t>Совкомбанк</w:t>
            </w:r>
            <w:proofErr w:type="spellEnd"/>
            <w:r w:rsidRPr="00C844AA">
              <w:t>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34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ООО "Банк Стандарт-Кредит"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35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КБ "СТРОЙЛЕСБАНК" (ООО)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36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ООО "Хакасский муниципальный банк"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37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ООО банк "Элита"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38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ОАО "</w:t>
            </w:r>
            <w:proofErr w:type="spellStart"/>
            <w:r w:rsidRPr="00C844AA">
              <w:t>Юг-Инвестбанк</w:t>
            </w:r>
            <w:proofErr w:type="spellEnd"/>
            <w:r w:rsidRPr="00C844AA">
              <w:t>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39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Банк ВТБ (ПАО)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40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ПАО "АК БАРС" БАНК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41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АО "Банк Акцепт"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42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АО КБ "Ассоциация"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43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 АО "ГЕНБАНК"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44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ПАО "</w:t>
            </w:r>
            <w:proofErr w:type="spellStart"/>
            <w:r w:rsidRPr="00C844AA">
              <w:t>Курскпромбанк</w:t>
            </w:r>
            <w:proofErr w:type="spellEnd"/>
            <w:r w:rsidRPr="00C844AA">
              <w:t>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45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ПАО "МОСКОВСКИЙ КРЕДИТНЫЙ БАНК"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46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 ПАО "</w:t>
            </w:r>
            <w:proofErr w:type="spellStart"/>
            <w:r w:rsidRPr="00C844AA">
              <w:t>Томскпромстройбанк</w:t>
            </w:r>
            <w:proofErr w:type="spellEnd"/>
            <w:r w:rsidRPr="00C844AA">
              <w:t>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47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ПАО КБ "</w:t>
            </w:r>
            <w:proofErr w:type="spellStart"/>
            <w:r w:rsidRPr="00C844AA">
              <w:t>Центр-инвест</w:t>
            </w:r>
            <w:proofErr w:type="spellEnd"/>
            <w:r w:rsidRPr="00C844AA">
              <w:t>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48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 КБ "ЭНЕРГОТРАНСБАНК" (АО)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49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 АО "АБ "РОССИЯ"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50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ООО КБ "Столичный Кредит"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51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ООО КБЭР "Банк Казани"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52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 АКБ "АКТИВ БАНК" (ПАО)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53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АКБ «</w:t>
            </w:r>
            <w:proofErr w:type="spellStart"/>
            <w:r w:rsidRPr="00C844AA">
              <w:t>Алмазэргиэнбанк</w:t>
            </w:r>
            <w:proofErr w:type="spellEnd"/>
            <w:r w:rsidRPr="00C844AA">
              <w:t>» АО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54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АО "Банк "Вологжанин"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55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 xml:space="preserve">  Банк </w:t>
            </w:r>
            <w:proofErr w:type="spellStart"/>
            <w:r w:rsidRPr="00C844AA">
              <w:t>Газпромбанк</w:t>
            </w:r>
            <w:proofErr w:type="spellEnd"/>
            <w:r w:rsidRPr="00C844AA">
              <w:t xml:space="preserve"> (АО)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56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 АО "Севастопольский Морской банк"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57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АО БАНК "СНГБ"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lastRenderedPageBreak/>
              <w:t>58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 АО "ВЛАДБИЗНЕСБАНК"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59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ООО КБ "</w:t>
            </w:r>
            <w:proofErr w:type="spellStart"/>
            <w:r w:rsidRPr="00C844AA">
              <w:t>Алтайкапиталбанк</w:t>
            </w:r>
            <w:proofErr w:type="spellEnd"/>
            <w:r w:rsidRPr="00C844AA">
              <w:t>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60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 xml:space="preserve">АО "Банк </w:t>
            </w:r>
            <w:proofErr w:type="spellStart"/>
            <w:r w:rsidRPr="00C844AA">
              <w:t>Интеза</w:t>
            </w:r>
            <w:proofErr w:type="spellEnd"/>
            <w:r w:rsidRPr="00C844AA">
              <w:t>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61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Банк ИПБ (АО)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62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КБ "Кубань Кредит" ООО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63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ПАО Банк "Кузнецкий"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64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ПАО "</w:t>
            </w:r>
            <w:proofErr w:type="spellStart"/>
            <w:r w:rsidRPr="00C844AA">
              <w:t>НБД-Банк</w:t>
            </w:r>
            <w:proofErr w:type="spellEnd"/>
            <w:r w:rsidRPr="00C844AA">
              <w:t>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65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ПАО "ЧЕЛЯБИНВЕСТБАНК"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66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 АКБ "</w:t>
            </w:r>
            <w:proofErr w:type="spellStart"/>
            <w:r w:rsidRPr="00C844AA">
              <w:t>Энергобанк</w:t>
            </w:r>
            <w:proofErr w:type="spellEnd"/>
            <w:r w:rsidRPr="00C844AA">
              <w:t>" (ПАО)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67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АО "</w:t>
            </w:r>
            <w:proofErr w:type="spellStart"/>
            <w:r w:rsidRPr="00C844AA">
              <w:t>Углеметбанк</w:t>
            </w:r>
            <w:proofErr w:type="spellEnd"/>
            <w:r w:rsidRPr="00C844AA">
              <w:t>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68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АО "</w:t>
            </w:r>
            <w:proofErr w:type="spellStart"/>
            <w:r w:rsidRPr="00C844AA">
              <w:t>Нефтепромбанк</w:t>
            </w:r>
            <w:proofErr w:type="spellEnd"/>
            <w:r w:rsidRPr="00C844AA">
              <w:t>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69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ООО "Банк Саратов"</w:t>
            </w:r>
          </w:p>
        </w:tc>
      </w:tr>
      <w:tr w:rsidR="00C844AA" w:rsidRPr="00C844AA" w:rsidTr="00603915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70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844AA" w:rsidRPr="00C844AA" w:rsidRDefault="00C844AA" w:rsidP="00C844AA">
            <w:pPr>
              <w:pStyle w:val="a4"/>
              <w:shd w:val="clear" w:color="auto" w:fill="FDFDFD"/>
              <w:spacing w:before="240" w:after="240"/>
              <w:ind w:left="708"/>
              <w:jc w:val="both"/>
              <w:textAlignment w:val="baseline"/>
            </w:pPr>
            <w:r w:rsidRPr="00C844AA">
              <w:t>АО "СМП Банк"</w:t>
            </w:r>
          </w:p>
        </w:tc>
      </w:tr>
    </w:tbl>
    <w:p w:rsidR="00C844AA" w:rsidRPr="00C844AA" w:rsidRDefault="00C844AA" w:rsidP="00C844AA">
      <w:pPr>
        <w:pStyle w:val="a4"/>
        <w:shd w:val="clear" w:color="auto" w:fill="FDFDFD"/>
        <w:spacing w:before="240" w:after="240"/>
        <w:ind w:left="708"/>
        <w:jc w:val="both"/>
        <w:textAlignment w:val="baseline"/>
      </w:pPr>
    </w:p>
    <w:p w:rsidR="00C844AA" w:rsidRDefault="00C844AA" w:rsidP="00C844AA">
      <w:pPr>
        <w:pStyle w:val="a4"/>
        <w:shd w:val="clear" w:color="auto" w:fill="FDFDFD"/>
        <w:spacing w:before="240" w:beforeAutospacing="0" w:after="240" w:afterAutospacing="0"/>
        <w:ind w:left="708"/>
        <w:jc w:val="both"/>
        <w:textAlignment w:val="baseline"/>
      </w:pPr>
    </w:p>
    <w:sectPr w:rsidR="00C844AA" w:rsidSect="003A43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E6" w:rsidRDefault="00CD0BE6" w:rsidP="00D917E4">
      <w:pPr>
        <w:spacing w:after="0" w:line="240" w:lineRule="auto"/>
      </w:pPr>
      <w:r>
        <w:separator/>
      </w:r>
    </w:p>
  </w:endnote>
  <w:endnote w:type="continuationSeparator" w:id="0">
    <w:p w:rsidR="00CD0BE6" w:rsidRDefault="00CD0BE6" w:rsidP="00D9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E6" w:rsidRDefault="00CD0BE6" w:rsidP="00D917E4">
      <w:pPr>
        <w:spacing w:after="0" w:line="240" w:lineRule="auto"/>
      </w:pPr>
      <w:r>
        <w:separator/>
      </w:r>
    </w:p>
  </w:footnote>
  <w:footnote w:type="continuationSeparator" w:id="0">
    <w:p w:rsidR="00CD0BE6" w:rsidRDefault="00CD0BE6" w:rsidP="00D91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B7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CC420B"/>
    <w:multiLevelType w:val="multilevel"/>
    <w:tmpl w:val="E7C4E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02511E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3F0AFE"/>
    <w:multiLevelType w:val="multilevel"/>
    <w:tmpl w:val="C096C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01C70AE"/>
    <w:multiLevelType w:val="hybridMultilevel"/>
    <w:tmpl w:val="3872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5AA"/>
    <w:multiLevelType w:val="hybridMultilevel"/>
    <w:tmpl w:val="5F2EE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B627F9"/>
    <w:multiLevelType w:val="hybridMultilevel"/>
    <w:tmpl w:val="3872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15471"/>
    <w:multiLevelType w:val="hybridMultilevel"/>
    <w:tmpl w:val="F084A18E"/>
    <w:lvl w:ilvl="0" w:tplc="F0D4A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E76DA5"/>
    <w:multiLevelType w:val="hybridMultilevel"/>
    <w:tmpl w:val="378206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3DE575D"/>
    <w:multiLevelType w:val="hybridMultilevel"/>
    <w:tmpl w:val="813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D62"/>
    <w:rsid w:val="000076EF"/>
    <w:rsid w:val="00024316"/>
    <w:rsid w:val="000344A1"/>
    <w:rsid w:val="00034F33"/>
    <w:rsid w:val="00074DE8"/>
    <w:rsid w:val="00082B2D"/>
    <w:rsid w:val="000E4E09"/>
    <w:rsid w:val="00120D7C"/>
    <w:rsid w:val="001956BE"/>
    <w:rsid w:val="002077AA"/>
    <w:rsid w:val="00211166"/>
    <w:rsid w:val="00211CE8"/>
    <w:rsid w:val="00255FCD"/>
    <w:rsid w:val="00266C3E"/>
    <w:rsid w:val="00283661"/>
    <w:rsid w:val="002D2877"/>
    <w:rsid w:val="002E211F"/>
    <w:rsid w:val="00383145"/>
    <w:rsid w:val="003A4306"/>
    <w:rsid w:val="003C203C"/>
    <w:rsid w:val="00407417"/>
    <w:rsid w:val="00433DFF"/>
    <w:rsid w:val="0046727A"/>
    <w:rsid w:val="00486155"/>
    <w:rsid w:val="0048764B"/>
    <w:rsid w:val="0052109E"/>
    <w:rsid w:val="00547DA2"/>
    <w:rsid w:val="00575E19"/>
    <w:rsid w:val="00587616"/>
    <w:rsid w:val="005C3060"/>
    <w:rsid w:val="00633940"/>
    <w:rsid w:val="00644989"/>
    <w:rsid w:val="00695F90"/>
    <w:rsid w:val="006C7908"/>
    <w:rsid w:val="006D0D7C"/>
    <w:rsid w:val="006E2344"/>
    <w:rsid w:val="00760D93"/>
    <w:rsid w:val="007A7593"/>
    <w:rsid w:val="007B2309"/>
    <w:rsid w:val="007D0DE8"/>
    <w:rsid w:val="007D181A"/>
    <w:rsid w:val="00851798"/>
    <w:rsid w:val="00866D62"/>
    <w:rsid w:val="00871D76"/>
    <w:rsid w:val="008B0FA7"/>
    <w:rsid w:val="008B5CEE"/>
    <w:rsid w:val="008B73B9"/>
    <w:rsid w:val="009A22D9"/>
    <w:rsid w:val="009C6EE0"/>
    <w:rsid w:val="00A65A9B"/>
    <w:rsid w:val="00AB375A"/>
    <w:rsid w:val="00AB4AAA"/>
    <w:rsid w:val="00AF115E"/>
    <w:rsid w:val="00B738B0"/>
    <w:rsid w:val="00BF7F98"/>
    <w:rsid w:val="00C66E17"/>
    <w:rsid w:val="00C844AA"/>
    <w:rsid w:val="00CD0BE6"/>
    <w:rsid w:val="00CF2B95"/>
    <w:rsid w:val="00D264D4"/>
    <w:rsid w:val="00D56B8F"/>
    <w:rsid w:val="00D719F6"/>
    <w:rsid w:val="00D917E4"/>
    <w:rsid w:val="00D97FA0"/>
    <w:rsid w:val="00DD6FCE"/>
    <w:rsid w:val="00DF0B6B"/>
    <w:rsid w:val="00DF4324"/>
    <w:rsid w:val="00E1735A"/>
    <w:rsid w:val="00E43EE7"/>
    <w:rsid w:val="00E506BC"/>
    <w:rsid w:val="00E60FE6"/>
    <w:rsid w:val="00EE0697"/>
    <w:rsid w:val="00EE5BB2"/>
    <w:rsid w:val="00EF107A"/>
    <w:rsid w:val="00F1732D"/>
    <w:rsid w:val="00F404F2"/>
    <w:rsid w:val="00F752A7"/>
    <w:rsid w:val="00F754FB"/>
    <w:rsid w:val="00FD1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6D62"/>
    <w:rPr>
      <w:i/>
      <w:iCs/>
    </w:rPr>
  </w:style>
  <w:style w:type="paragraph" w:styleId="a4">
    <w:name w:val="Normal (Web)"/>
    <w:basedOn w:val="a"/>
    <w:uiPriority w:val="99"/>
    <w:unhideWhenUsed/>
    <w:rsid w:val="0086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2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D917E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17E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917E4"/>
    <w:rPr>
      <w:vertAlign w:val="superscript"/>
    </w:rPr>
  </w:style>
  <w:style w:type="paragraph" w:styleId="a9">
    <w:name w:val="List Paragraph"/>
    <w:basedOn w:val="a"/>
    <w:uiPriority w:val="34"/>
    <w:qFormat/>
    <w:rsid w:val="00A65A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9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7F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C20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1BBC0-FDEC-440E-AC0C-0C6914BF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Пользователь</cp:lastModifiedBy>
  <cp:revision>2</cp:revision>
  <cp:lastPrinted>2017-08-04T06:32:00Z</cp:lastPrinted>
  <dcterms:created xsi:type="dcterms:W3CDTF">2019-05-16T14:30:00Z</dcterms:created>
  <dcterms:modified xsi:type="dcterms:W3CDTF">2019-05-16T14:30:00Z</dcterms:modified>
</cp:coreProperties>
</file>