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9"/>
          <w:tab w:val="left" w:pos="4395" w:leader="none"/>
          <w:tab w:val="left" w:pos="10206" w:leader="none"/>
        </w:tabs>
        <w:suppressAutoHyphens w:val="true"/>
        <w:overflowPunct w:val="true"/>
        <w:bidi w:val="0"/>
        <w:spacing w:lineRule="auto" w:line="240" w:before="57" w:after="57"/>
        <w:ind w:hanging="0" w:left="0" w:right="5443"/>
        <w:jc w:val="both"/>
        <w:rPr/>
      </w:pPr>
      <w:r>
        <w:rPr>
          <w:rFonts w:cs="Times New Roman" w:ascii="Times New Roman" w:hAnsi="Times New Roman"/>
          <w:bCs/>
          <w:sz w:val="28"/>
          <w:szCs w:val="28"/>
        </w:rPr>
        <w:t>О внесении изменения в государственную программу Республики Татарстан «Экономическое развитие и инновационная экономика Республики Татарстан»,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w:t>
      </w:r>
    </w:p>
    <w:p>
      <w:pPr>
        <w:pStyle w:val="Normal"/>
        <w:bidi w:val="0"/>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bidi w:val="0"/>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BodyText"/>
        <w:bidi w:val="0"/>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BodyText"/>
        <w:widowControl w:val="false"/>
        <w:bidi w:val="0"/>
        <w:spacing w:lineRule="auto" w:line="240" w:before="0" w:after="0"/>
        <w:ind w:firstLine="709"/>
        <w:jc w:val="both"/>
        <w:rPr>
          <w:rFonts w:ascii="Times New Roman" w:hAnsi="Times New Roman"/>
        </w:rPr>
      </w:pPr>
      <w:r>
        <w:rPr>
          <w:rFonts w:eastAsia="Times New Roman" w:cs="Times New Roman" w:ascii="Times New Roman" w:hAnsi="Times New Roman"/>
          <w:b w:val="false"/>
          <w:color w:val="000000"/>
          <w:sz w:val="28"/>
          <w:szCs w:val="28"/>
        </w:rPr>
        <w:t>Кабинет Министров Республики Татарстан постановляет:</w:t>
      </w:r>
    </w:p>
    <w:p>
      <w:pPr>
        <w:pStyle w:val="BodyText"/>
        <w:spacing w:lineRule="atLeast" w:line="285" w:before="0" w:after="283"/>
        <w:ind w:hanging="0" w:left="0" w:right="0"/>
        <w:jc w:val="both"/>
        <w:rPr>
          <w:rFonts w:ascii="Times New Roman" w:hAnsi="Times New Roman"/>
        </w:rPr>
      </w:pPr>
      <w:r>
        <w:rPr>
          <w:rFonts w:ascii="Times New Roman" w:hAnsi="Times New Roman"/>
        </w:rPr>
        <w:t xml:space="preserve"> </w:t>
      </w:r>
    </w:p>
    <w:p>
      <w:pPr>
        <w:pStyle w:val="BodyText"/>
        <w:spacing w:lineRule="atLeast" w:line="285" w:before="0" w:after="283"/>
        <w:ind w:firstLine="540" w:left="0" w:right="0"/>
        <w:jc w:val="both"/>
        <w:rPr>
          <w:rFonts w:ascii="Times New Roman" w:hAnsi="Times New Roman"/>
        </w:rPr>
      </w:pPr>
      <w:r>
        <w:rPr>
          <w:rFonts w:ascii="Times New Roman" w:hAnsi="Times New Roman"/>
          <w:b w:val="false"/>
        </w:rPr>
        <w:t xml:space="preserve">Внести в государственную программу Республики Татарстан «Экономическое развитие и инновационная экономика Республики Татарстан», утвержденную постановлением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 (с изменениями, внесенными постановлениями Кабинета Министров Республики Татарстан от 11.08.2023 № 972, от 04.09.2023 № 1072, от 07.11.2023 № 1430, от 26.12.2023 № 1689, </w:t>
      </w:r>
      <w:r>
        <w:rPr>
          <w:rFonts w:ascii="Times New Roman" w:hAnsi="Times New Roman"/>
          <w:b w:val="false"/>
        </w:rPr>
        <w:t>03.04.2024 № 217, от 25.06.2024 № 456)</w:t>
      </w:r>
      <w:r>
        <w:rPr>
          <w:rFonts w:ascii="Times New Roman" w:hAnsi="Times New Roman"/>
          <w:b w:val="false"/>
        </w:rPr>
        <w:t xml:space="preserve"> изменение, изложив ее в новой редакции (прилагается).</w:t>
      </w:r>
    </w:p>
    <w:p>
      <w:pPr>
        <w:pStyle w:val="BodyText"/>
        <w:spacing w:lineRule="atLeast" w:line="285" w:before="0" w:after="283"/>
        <w:ind w:firstLine="540" w:left="0" w:right="0"/>
        <w:jc w:val="both"/>
        <w:rPr>
          <w:b w:val="false"/>
        </w:rPr>
      </w:pPr>
      <w:r>
        <w:rPr>
          <w:b w:val="false"/>
        </w:rPr>
      </w:r>
    </w:p>
    <w:p>
      <w:pPr>
        <w:pStyle w:val="BodyText"/>
        <w:spacing w:lineRule="atLeast" w:line="285" w:before="0" w:after="283"/>
        <w:ind w:firstLine="540" w:left="0" w:right="0"/>
        <w:jc w:val="both"/>
        <w:rPr>
          <w:b w:val="false"/>
        </w:rPr>
      </w:pPr>
      <w:r>
        <w:rPr>
          <w:b w:val="false"/>
        </w:rPr>
      </w:r>
    </w:p>
    <w:p>
      <w:pPr>
        <w:pStyle w:val="BodyText"/>
        <w:widowControl w:val="false"/>
        <w:suppressAutoHyphens w:val="true"/>
        <w:overflowPunct w:val="true"/>
        <w:bidi w:val="0"/>
        <w:spacing w:lineRule="auto" w:line="240" w:before="0" w:after="0"/>
        <w:ind w:hanging="0" w:left="0" w:right="0"/>
        <w:jc w:val="both"/>
        <w:rPr/>
      </w:pPr>
      <w:r>
        <w:rPr>
          <w:b w:val="false"/>
        </w:rPr>
        <w:t>Премьер-министр</w:t>
      </w:r>
    </w:p>
    <w:p>
      <w:pPr>
        <w:pStyle w:val="BodyText"/>
        <w:widowControl w:val="false"/>
        <w:suppressAutoHyphens w:val="true"/>
        <w:overflowPunct w:val="true"/>
        <w:bidi w:val="0"/>
        <w:spacing w:lineRule="auto" w:line="240" w:before="0" w:after="0"/>
        <w:ind w:hanging="0" w:left="0" w:right="0"/>
        <w:jc w:val="both"/>
        <w:rPr/>
      </w:pPr>
      <w:r>
        <w:rPr>
          <w:b w:val="false"/>
        </w:rPr>
        <w:t>Республики Татарстан                                                                                    А.В.Песошин</w:t>
      </w:r>
    </w:p>
    <w:p>
      <w:pPr>
        <w:pStyle w:val="BodyText"/>
        <w:widowControl w:val="false"/>
        <w:suppressAutoHyphens w:val="true"/>
        <w:overflowPunct w:val="true"/>
        <w:bidi w:val="0"/>
        <w:spacing w:lineRule="atLeast" w:line="285" w:before="0" w:after="283"/>
        <w:ind w:hanging="0" w:left="0" w:right="0"/>
        <w:jc w:val="both"/>
        <w:rPr/>
      </w:pPr>
      <w:r>
        <w:rPr>
          <w:b w:val="false"/>
        </w:rPr>
        <w:t xml:space="preserve"> </w:t>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sectPr>
          <w:type w:val="nextPage"/>
          <w:pgSz w:w="11906" w:h="16838"/>
          <w:pgMar w:left="1134" w:right="572" w:gutter="0" w:header="0" w:top="1134" w:footer="0" w:bottom="1134"/>
          <w:pgNumType w:fmt="decimal"/>
          <w:formProt w:val="false"/>
          <w:textDirection w:val="lrTb"/>
          <w:docGrid w:type="default" w:linePitch="600" w:charSpace="24576"/>
        </w:sect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ind w:hanging="0" w:left="6804"/>
        <w:jc w:val="left"/>
        <w:rPr/>
      </w:pPr>
      <w:r>
        <w:rPr>
          <w:rFonts w:cs="Times New Roman" w:ascii="Times New Roman" w:hAnsi="Times New Roman"/>
          <w:color w:val="000000"/>
          <w:sz w:val="28"/>
          <w:szCs w:val="28"/>
        </w:rPr>
        <w:t>Утверждена</w:t>
      </w:r>
    </w:p>
    <w:p>
      <w:pPr>
        <w:pStyle w:val="Normal"/>
        <w:ind w:hanging="0" w:left="6804"/>
        <w:jc w:val="left"/>
        <w:rPr/>
      </w:pPr>
      <w:r>
        <w:rPr>
          <w:rFonts w:cs="Times New Roman" w:ascii="Times New Roman" w:hAnsi="Times New Roman"/>
          <w:color w:val="000000"/>
          <w:sz w:val="28"/>
          <w:szCs w:val="28"/>
        </w:rPr>
        <w:t xml:space="preserve">постановлением </w:t>
      </w:r>
    </w:p>
    <w:p>
      <w:pPr>
        <w:pStyle w:val="Normal"/>
        <w:ind w:hanging="0" w:left="6804"/>
        <w:jc w:val="left"/>
        <w:rPr/>
      </w:pPr>
      <w:r>
        <w:rPr>
          <w:rFonts w:cs="Times New Roman" w:ascii="Times New Roman" w:hAnsi="Times New Roman"/>
          <w:color w:val="000000"/>
          <w:sz w:val="28"/>
          <w:szCs w:val="28"/>
        </w:rPr>
        <w:t xml:space="preserve">Кабинета Министров Республики Татарстан </w:t>
      </w:r>
    </w:p>
    <w:p>
      <w:pPr>
        <w:pStyle w:val="Normal"/>
        <w:ind w:hanging="0" w:left="6804"/>
        <w:jc w:val="left"/>
        <w:rPr/>
      </w:pPr>
      <w:r>
        <w:rPr>
          <w:rFonts w:cs="Times New Roman" w:ascii="Times New Roman" w:hAnsi="Times New Roman"/>
          <w:color w:val="000000"/>
          <w:sz w:val="28"/>
          <w:szCs w:val="28"/>
        </w:rPr>
        <w:t xml:space="preserve">от 31.10.2013 № 823 </w:t>
      </w:r>
    </w:p>
    <w:p>
      <w:pPr>
        <w:pStyle w:val="Normal"/>
        <w:ind w:hanging="0" w:left="6804"/>
        <w:jc w:val="left"/>
        <w:rPr>
          <w:b w:val="false"/>
          <w:bCs w:val="false"/>
        </w:rPr>
      </w:pPr>
      <w:r>
        <w:rPr>
          <w:rFonts w:cs="Times New Roman" w:ascii="Times New Roman" w:hAnsi="Times New Roman"/>
          <w:b w:val="false"/>
          <w:bCs w:val="false"/>
          <w:color w:val="000000"/>
          <w:sz w:val="28"/>
          <w:szCs w:val="28"/>
        </w:rPr>
        <w:t xml:space="preserve">(в редакции постановления Кабинета Министров Республики Татарстан </w:t>
        <w:br/>
        <w:t>от _______ 2025 № _____)</w:t>
      </w:r>
    </w:p>
    <w:p>
      <w:pPr>
        <w:pStyle w:val="BodyText"/>
        <w:jc w:val="center"/>
        <w:rPr>
          <w:rFonts w:ascii="Times New Roman" w:hAnsi="Times New Roman"/>
          <w:b/>
          <w:szCs w:val="28"/>
        </w:rPr>
      </w:pPr>
      <w:r>
        <w:rPr>
          <w:rFonts w:ascii="Times New Roman" w:hAnsi="Times New Roman"/>
          <w:b/>
          <w:szCs w:val="28"/>
        </w:rPr>
      </w:r>
    </w:p>
    <w:p>
      <w:pPr>
        <w:pStyle w:val="BodyText"/>
        <w:jc w:val="center"/>
        <w:rPr>
          <w:rFonts w:ascii="Times New Roman" w:hAnsi="Times New Roman"/>
          <w:b/>
          <w:szCs w:val="28"/>
        </w:rPr>
      </w:pPr>
      <w:r>
        <w:rPr>
          <w:rFonts w:ascii="Times New Roman" w:hAnsi="Times New Roman"/>
          <w:b/>
          <w:szCs w:val="28"/>
        </w:rPr>
      </w:r>
    </w:p>
    <w:p>
      <w:pPr>
        <w:pStyle w:val="BodyText"/>
        <w:jc w:val="center"/>
        <w:rPr>
          <w:rFonts w:ascii="Times New Roman" w:hAnsi="Times New Roman"/>
          <w:b/>
          <w:szCs w:val="28"/>
        </w:rPr>
      </w:pPr>
      <w:r>
        <w:rPr>
          <w:rFonts w:ascii="Times New Roman" w:hAnsi="Times New Roman"/>
          <w:b/>
          <w:szCs w:val="28"/>
        </w:rPr>
        <w:t xml:space="preserve">Государственная программа Республики Татарстан </w:t>
      </w:r>
    </w:p>
    <w:p>
      <w:pPr>
        <w:pStyle w:val="BodyText"/>
        <w:jc w:val="center"/>
        <w:rPr>
          <w:rFonts w:ascii="Times New Roman" w:hAnsi="Times New Roman"/>
          <w:b/>
          <w:szCs w:val="28"/>
        </w:rPr>
      </w:pPr>
      <w:r>
        <w:rPr>
          <w:rFonts w:ascii="Times New Roman" w:hAnsi="Times New Roman"/>
          <w:b/>
          <w:szCs w:val="28"/>
        </w:rPr>
        <w:t xml:space="preserve">«Экономическое развитие и инновационная </w:t>
      </w:r>
    </w:p>
    <w:p>
      <w:pPr>
        <w:pStyle w:val="BodyText"/>
        <w:jc w:val="center"/>
        <w:rPr>
          <w:rFonts w:ascii="Times New Roman" w:hAnsi="Times New Roman"/>
          <w:b/>
          <w:szCs w:val="28"/>
        </w:rPr>
      </w:pPr>
      <w:r>
        <w:rPr>
          <w:rFonts w:ascii="Times New Roman" w:hAnsi="Times New Roman"/>
          <w:b/>
          <w:szCs w:val="28"/>
        </w:rPr>
        <w:t>экономика Республики Татарстан»</w:t>
      </w:r>
    </w:p>
    <w:p>
      <w:pPr>
        <w:pStyle w:val="BodyText"/>
        <w:jc w:val="center"/>
        <w:rPr>
          <w:rFonts w:ascii="Times New Roman" w:hAnsi="Times New Roman"/>
          <w:b/>
          <w:szCs w:val="28"/>
        </w:rPr>
      </w:pPr>
      <w:r>
        <w:rPr>
          <w:rFonts w:ascii="Times New Roman" w:hAnsi="Times New Roman"/>
          <w:b/>
          <w:szCs w:val="28"/>
        </w:rPr>
      </w:r>
    </w:p>
    <w:p>
      <w:pPr>
        <w:pStyle w:val="BodyText"/>
        <w:jc w:val="center"/>
        <w:rPr>
          <w:rFonts w:ascii="Times New Roman" w:hAnsi="Times New Roman"/>
          <w:b/>
          <w:szCs w:val="28"/>
        </w:rPr>
      </w:pPr>
      <w:r>
        <w:rPr>
          <w:rFonts w:ascii="Times New Roman" w:hAnsi="Times New Roman"/>
          <w:b/>
          <w:szCs w:val="28"/>
        </w:rPr>
        <w:t>Стратегические приоритеты в сфере реализации государственной</w:t>
      </w:r>
    </w:p>
    <w:p>
      <w:pPr>
        <w:pStyle w:val="BodyText"/>
        <w:jc w:val="center"/>
        <w:rPr>
          <w:rFonts w:ascii="Times New Roman" w:hAnsi="Times New Roman"/>
          <w:szCs w:val="28"/>
        </w:rPr>
      </w:pPr>
      <w:r>
        <w:rPr>
          <w:rFonts w:ascii="Times New Roman" w:hAnsi="Times New Roman"/>
          <w:b/>
          <w:szCs w:val="28"/>
        </w:rPr>
        <w:t>программы Республики Татарстан «Экономическое развитие</w:t>
      </w: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и инновационная экономика Республики Татарстан»</w:t>
      </w:r>
      <w:r>
        <w:rPr>
          <w:rFonts w:ascii="Times New Roman" w:hAnsi="Times New Roman"/>
          <w:szCs w:val="28"/>
        </w:rPr>
        <w:t xml:space="preserve"> </w:t>
      </w:r>
    </w:p>
    <w:p>
      <w:pPr>
        <w:pStyle w:val="BodyText"/>
        <w:jc w:val="center"/>
        <w:rPr>
          <w:rFonts w:ascii="Times New Roman" w:hAnsi="Times New Roman"/>
          <w:sz w:val="20"/>
          <w:szCs w:val="20"/>
        </w:rPr>
      </w:pPr>
      <w:r>
        <w:rPr>
          <w:rFonts w:ascii="Times New Roman" w:hAnsi="Times New Roman"/>
          <w:sz w:val="20"/>
          <w:szCs w:val="20"/>
        </w:rPr>
      </w:r>
    </w:p>
    <w:p>
      <w:pPr>
        <w:pStyle w:val="BodyText"/>
        <w:jc w:val="center"/>
        <w:rPr>
          <w:rFonts w:ascii="Times New Roman" w:hAnsi="Times New Roman"/>
          <w:szCs w:val="28"/>
        </w:rPr>
      </w:pPr>
      <w:r>
        <w:rPr>
          <w:rFonts w:ascii="Times New Roman" w:hAnsi="Times New Roman"/>
          <w:b/>
          <w:szCs w:val="28"/>
        </w:rPr>
        <w:t>I. Оценка текущего состояния в сфере экономики</w:t>
      </w:r>
    </w:p>
    <w:p>
      <w:pPr>
        <w:pStyle w:val="BodyText"/>
        <w:jc w:val="center"/>
        <w:rPr>
          <w:rFonts w:ascii="Times New Roman" w:hAnsi="Times New Roman"/>
          <w:szCs w:val="28"/>
        </w:rPr>
      </w:pPr>
      <w:r>
        <w:rPr>
          <w:rFonts w:ascii="Times New Roman" w:hAnsi="Times New Roman"/>
          <w:szCs w:val="28"/>
        </w:rPr>
      </w:r>
    </w:p>
    <w:p>
      <w:pPr>
        <w:pStyle w:val="BodyText"/>
        <w:ind w:firstLine="510"/>
        <w:rPr>
          <w:rFonts w:ascii="Times New Roman" w:hAnsi="Times New Roman"/>
          <w:szCs w:val="28"/>
        </w:rPr>
      </w:pPr>
      <w:r>
        <w:rPr>
          <w:rFonts w:ascii="Times New Roman" w:hAnsi="Times New Roman"/>
          <w:szCs w:val="28"/>
        </w:rPr>
        <w:t xml:space="preserve"> </w:t>
      </w:r>
      <w:r>
        <w:rPr>
          <w:rFonts w:ascii="Times New Roman" w:hAnsi="Times New Roman"/>
          <w:szCs w:val="28"/>
        </w:rPr>
        <w:t xml:space="preserve">Государственная программа Республики Татарстан «Экономическое развитие и инновационная экономика Республики Татарстан» (далее - государственная программа Республики Татарстан) направлена на обеспечение социально-экономической стабильности и развития экономики Республики Татарстан. </w:t>
      </w:r>
    </w:p>
    <w:p>
      <w:pPr>
        <w:pStyle w:val="BodyText"/>
        <w:ind w:firstLine="540"/>
        <w:rPr>
          <w:rFonts w:ascii="Times New Roman" w:hAnsi="Times New Roman"/>
          <w:szCs w:val="28"/>
        </w:rPr>
      </w:pPr>
      <w:r>
        <w:rPr>
          <w:rFonts w:ascii="Times New Roman" w:hAnsi="Times New Roman"/>
          <w:szCs w:val="28"/>
        </w:rPr>
        <w:t xml:space="preserve">В условиях высокой неопределенности, обусловленной геополитическими факторами и санкционным давлением, организации в республике оперативно наладили работу по установлению новых кооперационных связей, перестраиванию логистических цепочек, поиску новых рынков сбыта, импортозамещению. </w:t>
      </w:r>
    </w:p>
    <w:p>
      <w:pPr>
        <w:pStyle w:val="BodyText"/>
        <w:ind w:firstLine="540"/>
        <w:rPr>
          <w:rFonts w:ascii="Times New Roman" w:hAnsi="Times New Roman"/>
          <w:szCs w:val="28"/>
        </w:rPr>
      </w:pPr>
      <w:r>
        <w:rPr>
          <w:rFonts w:ascii="Times New Roman" w:hAnsi="Times New Roman"/>
          <w:szCs w:val="28"/>
        </w:rPr>
        <w:t xml:space="preserve">Республика Татарстан по основным макроэкономическим показателям сохраняет лидирующие позиции среди регионов Российской Федерации. </w:t>
      </w:r>
    </w:p>
    <w:p>
      <w:pPr>
        <w:pStyle w:val="BodyText"/>
        <w:ind w:firstLine="540"/>
        <w:rPr>
          <w:rFonts w:ascii="Times New Roman" w:hAnsi="Times New Roman"/>
          <w:szCs w:val="28"/>
        </w:rPr>
      </w:pPr>
      <w:r>
        <w:rPr>
          <w:rFonts w:ascii="Times New Roman" w:hAnsi="Times New Roman"/>
          <w:szCs w:val="28"/>
        </w:rPr>
        <w:t xml:space="preserve">Республика Татарстан по объему валового регионального продукта занимает     </w:t>
      </w:r>
      <w:r>
        <w:rPr>
          <w:rFonts w:ascii="Times New Roman" w:hAnsi="Times New Roman"/>
          <w:szCs w:val="28"/>
          <w:shd w:fill="FFFFFF" w:val="clear"/>
        </w:rPr>
        <w:t>7-е </w:t>
      </w:r>
      <w:r>
        <w:rPr>
          <w:rFonts w:ascii="Times New Roman" w:hAnsi="Times New Roman"/>
          <w:szCs w:val="28"/>
          <w:shd w:fill="FFFFFF" w:val="clear"/>
        </w:rPr>
        <w:t xml:space="preserve">место среди субъектов Российской Федерации, промышленного производства -  </w:t>
      </w:r>
      <w:r>
        <w:rPr>
          <w:rFonts w:ascii="Times New Roman" w:hAnsi="Times New Roman"/>
          <w:szCs w:val="28"/>
          <w:shd w:fill="FFFFFF" w:val="clear"/>
        </w:rPr>
        <w:t xml:space="preserve">5-е место, продукции сельского хозяйства - 3-е </w:t>
      </w:r>
      <w:r>
        <w:rPr>
          <w:rFonts w:ascii="Times New Roman" w:hAnsi="Times New Roman"/>
          <w:szCs w:val="28"/>
          <w:shd w:fill="FFFFFF" w:val="clear"/>
        </w:rPr>
        <w:t>место</w:t>
      </w:r>
      <w:r>
        <w:rPr>
          <w:rFonts w:ascii="Times New Roman" w:hAnsi="Times New Roman"/>
          <w:szCs w:val="28"/>
          <w:shd w:fill="FFFFFF" w:val="clear"/>
        </w:rPr>
        <w:t>, строительства - 2-е место, инвестиций в основной капитал - 6-е место,</w:t>
      </w:r>
      <w:r>
        <w:rPr>
          <w:rFonts w:ascii="Times New Roman" w:hAnsi="Times New Roman"/>
          <w:szCs w:val="28"/>
          <w:shd w:fill="FFFFFF" w:val="clear"/>
        </w:rPr>
        <w:t xml:space="preserve"> обороту розничной торговли - 7-е место. </w:t>
      </w:r>
    </w:p>
    <w:p>
      <w:pPr>
        <w:pStyle w:val="BodyText"/>
        <w:ind w:firstLine="540"/>
        <w:rPr>
          <w:highlight w:val="none"/>
          <w:shd w:fill="FFFFFF" w:val="clear"/>
        </w:rPr>
      </w:pPr>
      <w:r>
        <w:rPr>
          <w:rFonts w:ascii="Times New Roman" w:hAnsi="Times New Roman"/>
          <w:szCs w:val="28"/>
          <w:shd w:fill="FFFFFF" w:val="clear"/>
        </w:rPr>
        <w:t xml:space="preserve">По итогам </w:t>
      </w:r>
      <w:r>
        <w:rPr>
          <w:rFonts w:ascii="Times New Roman" w:hAnsi="Times New Roman"/>
          <w:szCs w:val="28"/>
          <w:shd w:fill="FFFFFF" w:val="clear"/>
        </w:rPr>
        <w:t>2024</w:t>
      </w:r>
      <w:r>
        <w:rPr>
          <w:rFonts w:ascii="Times New Roman" w:hAnsi="Times New Roman"/>
          <w:szCs w:val="28"/>
          <w:shd w:fill="FFFFFF" w:val="clear"/>
        </w:rPr>
        <w:t xml:space="preserve"> года объем валового регионального продукта, по оценке, составил </w:t>
      </w:r>
      <w:r>
        <w:rPr>
          <w:rFonts w:ascii="Times New Roman" w:hAnsi="Times New Roman"/>
          <w:szCs w:val="28"/>
          <w:shd w:fill="FFFFFF" w:val="clear"/>
        </w:rPr>
        <w:t>5 203,5</w:t>
      </w:r>
      <w:r>
        <w:rPr>
          <w:rFonts w:ascii="Times New Roman" w:hAnsi="Times New Roman"/>
          <w:szCs w:val="28"/>
          <w:shd w:fill="FFFFFF" w:val="clear"/>
        </w:rPr>
        <w:t xml:space="preserve"> млрд рублей, или </w:t>
      </w:r>
      <w:r>
        <w:rPr>
          <w:rFonts w:ascii="Times New Roman" w:hAnsi="Times New Roman"/>
          <w:szCs w:val="28"/>
          <w:shd w:fill="FFFFFF" w:val="clear"/>
        </w:rPr>
        <w:t>103,9</w:t>
      </w:r>
      <w:r>
        <w:rPr>
          <w:rFonts w:ascii="Times New Roman" w:hAnsi="Times New Roman"/>
          <w:szCs w:val="28"/>
          <w:shd w:fill="FFFFFF" w:val="clear"/>
        </w:rPr>
        <w:t xml:space="preserve"> процента в сопоставимых ценах к уровню </w:t>
      </w:r>
      <w:r>
        <w:rPr>
          <w:rFonts w:ascii="Times New Roman" w:hAnsi="Times New Roman"/>
          <w:szCs w:val="28"/>
          <w:shd w:fill="FFFFFF" w:val="clear"/>
        </w:rPr>
        <w:t>2023</w:t>
      </w:r>
      <w:r>
        <w:rPr>
          <w:rFonts w:ascii="Times New Roman" w:hAnsi="Times New Roman"/>
          <w:szCs w:val="28"/>
          <w:shd w:fill="FFFFFF" w:val="clear"/>
        </w:rPr>
        <w:t xml:space="preserve"> года. </w:t>
      </w:r>
    </w:p>
    <w:p>
      <w:pPr>
        <w:pStyle w:val="BodyText"/>
        <w:ind w:firstLine="540"/>
        <w:rPr>
          <w:rFonts w:ascii="Times New Roman" w:hAnsi="Times New Roman"/>
          <w:szCs w:val="28"/>
        </w:rPr>
      </w:pPr>
      <w:r>
        <w:rPr>
          <w:rFonts w:ascii="Times New Roman" w:hAnsi="Times New Roman"/>
          <w:szCs w:val="28"/>
          <w:shd w:fill="FFFFFF" w:val="clear"/>
        </w:rPr>
        <w:t xml:space="preserve">В структуре экономики наибольший удельный вес, по оценке </w:t>
      </w:r>
      <w:r>
        <w:rPr>
          <w:rFonts w:ascii="Times New Roman" w:hAnsi="Times New Roman"/>
          <w:szCs w:val="28"/>
          <w:shd w:fill="FFFFFF" w:val="clear"/>
        </w:rPr>
        <w:t>2024 года</w:t>
      </w:r>
      <w:r>
        <w:rPr>
          <w:rFonts w:ascii="Times New Roman" w:hAnsi="Times New Roman"/>
          <w:szCs w:val="28"/>
          <w:shd w:fill="FFFFFF" w:val="clear"/>
        </w:rPr>
        <w:t xml:space="preserve">, занимает промышленность – </w:t>
      </w:r>
      <w:r>
        <w:rPr>
          <w:rFonts w:ascii="Times New Roman" w:hAnsi="Times New Roman"/>
          <w:szCs w:val="28"/>
          <w:shd w:fill="FFFFFF" w:val="clear"/>
        </w:rPr>
        <w:t>47,1</w:t>
      </w:r>
      <w:r>
        <w:rPr>
          <w:rFonts w:ascii="Times New Roman" w:hAnsi="Times New Roman"/>
          <w:szCs w:val="28"/>
          <w:shd w:fill="FFFFFF" w:val="clear"/>
        </w:rPr>
        <w:t xml:space="preserve"> процента (в том числе добыча полезных ископаемых – </w:t>
      </w:r>
      <w:r>
        <w:rPr>
          <w:rFonts w:ascii="Times New Roman" w:hAnsi="Times New Roman"/>
          <w:szCs w:val="28"/>
          <w:shd w:fill="FFFFFF" w:val="clear"/>
        </w:rPr>
        <w:t>25,6</w:t>
      </w:r>
      <w:r>
        <w:rPr>
          <w:rFonts w:ascii="Times New Roman" w:hAnsi="Times New Roman"/>
          <w:szCs w:val="28"/>
          <w:shd w:fill="FFFFFF" w:val="clear"/>
        </w:rPr>
        <w:t xml:space="preserve"> процента, обрабатывающие производства – </w:t>
      </w:r>
      <w:r>
        <w:rPr>
          <w:rFonts w:ascii="Times New Roman" w:hAnsi="Times New Roman"/>
          <w:szCs w:val="28"/>
          <w:shd w:fill="FFFFFF" w:val="clear"/>
        </w:rPr>
        <w:t>19,5</w:t>
      </w:r>
      <w:r>
        <w:rPr>
          <w:rFonts w:ascii="Times New Roman" w:hAnsi="Times New Roman"/>
          <w:szCs w:val="28"/>
          <w:shd w:fill="FFFFFF" w:val="clear"/>
        </w:rPr>
        <w:t xml:space="preserve"> процента, обеспечение электрической энергией, газом, паром, кондиционирование воздуха – </w:t>
      </w:r>
      <w:r>
        <w:rPr>
          <w:rFonts w:ascii="Times New Roman" w:hAnsi="Times New Roman"/>
          <w:szCs w:val="28"/>
          <w:shd w:fill="FFFFFF" w:val="clear"/>
        </w:rPr>
        <w:t>1,6</w:t>
      </w:r>
      <w:r>
        <w:rPr>
          <w:rFonts w:ascii="Times New Roman" w:hAnsi="Times New Roman"/>
          <w:szCs w:val="28"/>
          <w:shd w:fill="FFFFFF" w:val="clear"/>
        </w:rPr>
        <w:t xml:space="preserve"> процента, водоснабжение, водоотведение, организация сбора и ут</w:t>
      </w:r>
      <w:r>
        <w:rPr>
          <w:rFonts w:ascii="Times New Roman" w:hAnsi="Times New Roman"/>
          <w:szCs w:val="28"/>
        </w:rPr>
        <w:t xml:space="preserve">илизации отходов, деятельность по ликвидации загрязнений – 0,4 процента), сельское хозяйство – 3,9 процента, строительство – 7,3 процента, оптовая и розничная </w:t>
      </w:r>
      <w:r>
        <w:rPr>
          <w:rFonts w:ascii="Times New Roman" w:hAnsi="Times New Roman"/>
          <w:szCs w:val="28"/>
          <w:shd w:fill="FFFFFF" w:val="clear"/>
        </w:rPr>
        <w:t xml:space="preserve">торговля – </w:t>
      </w:r>
      <w:r>
        <w:rPr>
          <w:rFonts w:ascii="Times New Roman" w:hAnsi="Times New Roman"/>
          <w:szCs w:val="28"/>
          <w:shd w:fill="FFFFFF" w:val="clear"/>
        </w:rPr>
        <w:t>10,5</w:t>
      </w:r>
      <w:r>
        <w:rPr>
          <w:rFonts w:ascii="Times New Roman" w:hAnsi="Times New Roman"/>
          <w:szCs w:val="28"/>
          <w:shd w:fill="FFFFFF" w:val="clear"/>
        </w:rPr>
        <w:t xml:space="preserve"> процента, транспортировка и хранение – </w:t>
      </w:r>
      <w:r>
        <w:rPr>
          <w:rFonts w:ascii="Times New Roman" w:hAnsi="Times New Roman"/>
          <w:szCs w:val="28"/>
          <w:shd w:fill="FFFFFF" w:val="clear"/>
        </w:rPr>
        <w:t xml:space="preserve">5,6 </w:t>
      </w:r>
      <w:r>
        <w:rPr>
          <w:rFonts w:ascii="Times New Roman" w:hAnsi="Times New Roman"/>
          <w:szCs w:val="28"/>
          <w:shd w:fill="FFFFFF" w:val="clear"/>
        </w:rPr>
        <w:t xml:space="preserve">процента. </w:t>
      </w:r>
    </w:p>
    <w:p>
      <w:pPr>
        <w:pStyle w:val="BodyText"/>
        <w:ind w:firstLine="540"/>
        <w:rPr>
          <w:highlight w:val="none"/>
          <w:shd w:fill="FFFFFF" w:val="clear"/>
        </w:rPr>
      </w:pPr>
      <w:r>
        <w:rPr>
          <w:rFonts w:ascii="Times New Roman" w:hAnsi="Times New Roman"/>
          <w:szCs w:val="28"/>
          <w:shd w:fill="FFFFFF" w:val="clear"/>
        </w:rPr>
        <w:t xml:space="preserve">Значительное внимание уделяется продвижению инвестиционного потенциала Республики Татарстан, улучшению инвестиционного климата, созданию комфортных условий для ведения бизнеса. </w:t>
      </w:r>
    </w:p>
    <w:p>
      <w:pPr>
        <w:pStyle w:val="BodyText"/>
        <w:ind w:firstLine="540"/>
        <w:rPr>
          <w:highlight w:val="none"/>
          <w:shd w:fill="FFFFFF" w:val="clear"/>
        </w:rPr>
      </w:pPr>
      <w:r>
        <w:rPr>
          <w:rFonts w:ascii="Times New Roman" w:hAnsi="Times New Roman"/>
          <w:szCs w:val="28"/>
          <w:shd w:fill="FFFFFF" w:val="clear"/>
        </w:rPr>
        <w:t xml:space="preserve">В </w:t>
      </w:r>
      <w:r>
        <w:rPr>
          <w:rFonts w:ascii="Times New Roman" w:hAnsi="Times New Roman"/>
          <w:szCs w:val="28"/>
          <w:shd w:fill="FFFFFF" w:val="clear"/>
        </w:rPr>
        <w:t>2024</w:t>
      </w:r>
      <w:r>
        <w:rPr>
          <w:rFonts w:ascii="Times New Roman" w:hAnsi="Times New Roman"/>
          <w:szCs w:val="28"/>
          <w:shd w:fill="FFFFFF" w:val="clear"/>
        </w:rPr>
        <w:t xml:space="preserve"> году на развитие экономики и социальной сферы направлено </w:t>
      </w:r>
      <w:r>
        <w:rPr>
          <w:rFonts w:ascii="Times New Roman" w:hAnsi="Times New Roman"/>
          <w:szCs w:val="28"/>
          <w:shd w:fill="FFFFFF" w:val="clear"/>
        </w:rPr>
        <w:t>1 435,1</w:t>
      </w:r>
      <w:r>
        <w:rPr>
          <w:rFonts w:ascii="Times New Roman" w:hAnsi="Times New Roman"/>
          <w:szCs w:val="28"/>
          <w:shd w:fill="FFFFFF" w:val="clear"/>
        </w:rPr>
        <w:t xml:space="preserve"> млрд рублей инвестиций в основной капитал, или </w:t>
      </w:r>
      <w:r>
        <w:rPr>
          <w:rFonts w:ascii="Times New Roman" w:hAnsi="Times New Roman"/>
          <w:szCs w:val="28"/>
          <w:shd w:fill="FFFFFF" w:val="clear"/>
        </w:rPr>
        <w:t>112,7</w:t>
      </w:r>
      <w:r>
        <w:rPr>
          <w:rFonts w:ascii="Times New Roman" w:hAnsi="Times New Roman"/>
          <w:szCs w:val="28"/>
          <w:shd w:fill="FFFFFF" w:val="clear"/>
        </w:rPr>
        <w:t xml:space="preserve"> процента в сопоставимых ценах к уровню </w:t>
      </w:r>
      <w:r>
        <w:rPr>
          <w:rFonts w:ascii="Times New Roman" w:hAnsi="Times New Roman"/>
          <w:szCs w:val="28"/>
          <w:shd w:fill="FFFFFF" w:val="clear"/>
        </w:rPr>
        <w:t>2023</w:t>
      </w:r>
      <w:r>
        <w:rPr>
          <w:rFonts w:ascii="Times New Roman" w:hAnsi="Times New Roman"/>
          <w:szCs w:val="28"/>
          <w:shd w:fill="FFFFFF" w:val="clear"/>
        </w:rPr>
        <w:t xml:space="preserve"> года. </w:t>
      </w:r>
    </w:p>
    <w:p>
      <w:pPr>
        <w:pStyle w:val="BodyText"/>
        <w:ind w:firstLine="540"/>
        <w:rPr>
          <w:highlight w:val="none"/>
          <w:shd w:fill="FFFFFF" w:val="clear"/>
        </w:rPr>
      </w:pPr>
      <w:r>
        <w:rPr>
          <w:rFonts w:ascii="Times New Roman" w:hAnsi="Times New Roman"/>
          <w:szCs w:val="28"/>
          <w:shd w:fill="FFFFFF" w:val="clear"/>
        </w:rPr>
        <w:t xml:space="preserve">Средняя начисленная заработная плата работающих на предприятиях и в организациях республики, включая субъекты малого предпринимательства, в </w:t>
      </w:r>
      <w:r>
        <w:rPr>
          <w:rFonts w:ascii="Times New Roman" w:hAnsi="Times New Roman"/>
          <w:szCs w:val="28"/>
          <w:shd w:fill="FFFFFF" w:val="clear"/>
        </w:rPr>
        <w:t>2024</w:t>
      </w:r>
      <w:r>
        <w:rPr>
          <w:rFonts w:ascii="Times New Roman" w:hAnsi="Times New Roman"/>
          <w:szCs w:val="28"/>
          <w:shd w:fill="FFFFFF" w:val="clear"/>
        </w:rPr>
        <w:t xml:space="preserve"> году составила </w:t>
      </w:r>
      <w:r>
        <w:rPr>
          <w:rFonts w:ascii="Times New Roman" w:hAnsi="Times New Roman"/>
          <w:szCs w:val="28"/>
          <w:shd w:fill="FFFFFF" w:val="clear"/>
        </w:rPr>
        <w:t>75 764,0</w:t>
      </w:r>
      <w:r>
        <w:rPr>
          <w:rFonts w:ascii="Times New Roman" w:hAnsi="Times New Roman"/>
          <w:szCs w:val="28"/>
          <w:shd w:fill="FFFFFF" w:val="clear"/>
        </w:rPr>
        <w:t xml:space="preserve"> рубля и увеличилась к уровню </w:t>
      </w:r>
      <w:r>
        <w:rPr>
          <w:rFonts w:ascii="Times New Roman" w:hAnsi="Times New Roman"/>
          <w:szCs w:val="28"/>
          <w:shd w:fill="FFFFFF" w:val="clear"/>
        </w:rPr>
        <w:t>2023</w:t>
      </w:r>
      <w:r>
        <w:rPr>
          <w:rFonts w:ascii="Times New Roman" w:hAnsi="Times New Roman"/>
          <w:szCs w:val="28"/>
          <w:shd w:fill="FFFFFF" w:val="clear"/>
        </w:rPr>
        <w:t xml:space="preserve"> года на </w:t>
      </w:r>
      <w:r>
        <w:rPr>
          <w:rFonts w:ascii="Times New Roman" w:hAnsi="Times New Roman"/>
          <w:szCs w:val="28"/>
          <w:shd w:fill="FFFFFF" w:val="clear"/>
        </w:rPr>
        <w:t xml:space="preserve">22,4 </w:t>
      </w:r>
      <w:r>
        <w:rPr>
          <w:rFonts w:ascii="Times New Roman" w:hAnsi="Times New Roman"/>
          <w:szCs w:val="28"/>
          <w:shd w:fill="FFFFFF" w:val="clear"/>
        </w:rPr>
        <w:t xml:space="preserve">процента. </w:t>
      </w:r>
    </w:p>
    <w:p>
      <w:pPr>
        <w:pStyle w:val="BodyText"/>
        <w:ind w:firstLine="540"/>
        <w:rPr>
          <w:highlight w:val="none"/>
          <w:shd w:fill="FFFFFF" w:val="clear"/>
        </w:rPr>
      </w:pPr>
      <w:r>
        <w:rPr>
          <w:rFonts w:ascii="Times New Roman" w:hAnsi="Times New Roman"/>
          <w:szCs w:val="28"/>
          <w:shd w:fill="FFFFFF" w:val="clear"/>
        </w:rPr>
        <w:t xml:space="preserve">Реальная заработная плата, рассчитанная с учетом индекса потребительских цен на товары и услуги, составила </w:t>
      </w:r>
      <w:r>
        <w:rPr>
          <w:rFonts w:ascii="Times New Roman" w:hAnsi="Times New Roman"/>
          <w:szCs w:val="28"/>
          <w:shd w:fill="FFFFFF" w:val="clear"/>
        </w:rPr>
        <w:t>113,0 процентов</w:t>
      </w:r>
      <w:r>
        <w:rPr>
          <w:rFonts w:ascii="Times New Roman" w:hAnsi="Times New Roman"/>
          <w:szCs w:val="28"/>
          <w:shd w:fill="FFFFFF" w:val="clear"/>
        </w:rPr>
        <w:t xml:space="preserve">. </w:t>
      </w:r>
    </w:p>
    <w:p>
      <w:pPr>
        <w:pStyle w:val="BodyText"/>
        <w:ind w:firstLine="540"/>
        <w:rPr>
          <w:rFonts w:ascii="Times New Roman" w:hAnsi="Times New Roman"/>
          <w:szCs w:val="28"/>
        </w:rPr>
      </w:pPr>
      <w:r>
        <w:rPr>
          <w:rFonts w:ascii="Times New Roman" w:hAnsi="Times New Roman"/>
          <w:szCs w:val="28"/>
        </w:rPr>
        <w:t xml:space="preserve">По размеру среднемесячной заработной платы Татарстан в ренкинге регионов Приволжского федерального округа занимает 1-е место. </w:t>
      </w:r>
    </w:p>
    <w:p>
      <w:pPr>
        <w:pStyle w:val="BodyText"/>
        <w:ind w:firstLine="540"/>
        <w:rPr/>
      </w:pPr>
      <w:r>
        <w:rPr>
          <w:rFonts w:ascii="Times New Roman" w:hAnsi="Times New Roman"/>
          <w:szCs w:val="28"/>
        </w:rPr>
        <w:t xml:space="preserve">В государственной программе Республики Татарстан отдельное внимание уделяется развитию и поддержке субъектов малого и среднего предпринимательства. </w:t>
      </w:r>
    </w:p>
    <w:p>
      <w:pPr>
        <w:pStyle w:val="BodyText"/>
        <w:ind w:firstLine="540"/>
        <w:rPr>
          <w:rFonts w:ascii="Times New Roman" w:hAnsi="Times New Roman"/>
          <w:szCs w:val="28"/>
        </w:rPr>
      </w:pPr>
      <w:r>
        <w:rPr>
          <w:rFonts w:ascii="Times New Roman" w:hAnsi="Times New Roman"/>
          <w:szCs w:val="28"/>
        </w:rPr>
        <w:t xml:space="preserve">В Республике Татарстан созданы и функционируют организации инфраструктуры поддержки субъектов малого и среднего предпринимательства. В их число входят некоммерческая микрокредитная компания «Фонд поддержки предпринимательства Республики Татарстан» (Центр «Мой бизнес», Центр поддержки предпринимательства, Центр микрофинансирования, Центр поддержки экспорта), некоммерческая организация «Гарантийный фонд Республики Татарстан», акционерное общество «Региональная лизинговая компания Республики Татарстан», автономная некоммерческая организация «Центр кластерного развития и проектного управления Республики Татарстан», государственное казенное учреждение «Центр реализации программ поддержки и развития малого и среднего предпринимательства в Республике Татарстан». </w:t>
      </w:r>
    </w:p>
    <w:p>
      <w:pPr>
        <w:pStyle w:val="BodyText"/>
        <w:ind w:firstLine="540"/>
        <w:rPr>
          <w:highlight w:val="none"/>
          <w:shd w:fill="FFFFFF" w:val="clear"/>
        </w:rPr>
      </w:pPr>
      <w:r>
        <w:rPr>
          <w:rFonts w:ascii="Times New Roman" w:hAnsi="Times New Roman"/>
          <w:szCs w:val="28"/>
          <w:shd w:fill="FFFFFF" w:val="clear"/>
        </w:rPr>
        <w:t xml:space="preserve">Указанными организациями, в том числе в рамках реализации национального проекта «Малое и среднее предпринимательство и поддержка индивидуальной предпринимательской инициативы» </w:t>
      </w:r>
      <w:r>
        <w:rPr>
          <w:rFonts w:ascii="Times New Roman" w:hAnsi="Times New Roman"/>
          <w:szCs w:val="28"/>
          <w:shd w:fill="FFFFFF" w:val="clear"/>
        </w:rPr>
        <w:t>(до 2024 года), федерального проекта «Малое и среднее предпринимательство и поддержка индивидуальной предпринимательской инициативы»национального проекта «Эффективная и конкурентная экономика» (с 2025 года)</w:t>
      </w:r>
      <w:r>
        <w:rPr>
          <w:rFonts w:ascii="Times New Roman" w:hAnsi="Times New Roman"/>
          <w:szCs w:val="28"/>
          <w:shd w:fill="FFFFFF" w:val="clear"/>
        </w:rPr>
        <w:t xml:space="preserve"> субъектам малого и среднего предпринимательства оказывается комплекс мер финансовой и нефинансовой поддержки. </w:t>
      </w:r>
    </w:p>
    <w:p>
      <w:pPr>
        <w:pStyle w:val="BodyText"/>
        <w:ind w:firstLine="540"/>
        <w:rPr>
          <w:highlight w:val="none"/>
          <w:shd w:fill="FFFFFF" w:val="clear"/>
        </w:rPr>
      </w:pPr>
      <w:r>
        <w:rPr>
          <w:rFonts w:ascii="Times New Roman" w:hAnsi="Times New Roman"/>
          <w:szCs w:val="28"/>
          <w:shd w:fill="FFFFFF" w:val="clear"/>
        </w:rPr>
        <w:t xml:space="preserve">В Республике Татарстан на 1 января 2025 года: </w:t>
      </w:r>
    </w:p>
    <w:p>
      <w:pPr>
        <w:pStyle w:val="BodyText"/>
        <w:ind w:firstLine="540"/>
        <w:rPr>
          <w:highlight w:val="none"/>
          <w:shd w:fill="FFFFFF" w:val="clear"/>
        </w:rPr>
      </w:pPr>
      <w:r>
        <w:rPr>
          <w:rFonts w:ascii="Times New Roman" w:hAnsi="Times New Roman"/>
          <w:szCs w:val="28"/>
          <w:shd w:fill="FFFFFF" w:val="clear"/>
        </w:rPr>
        <w:t xml:space="preserve">количество зарегистрированных субъектов малого и среднего предпринимательства составляет 178,3 тыс. субъектов малого и среднего предпринимательства, что на 5 717 субъектов малого и среднего предпринимательства (на 3,3 процента) больше относительно начала 2024 года; </w:t>
      </w:r>
    </w:p>
    <w:p>
      <w:pPr>
        <w:pStyle w:val="BodyText"/>
        <w:ind w:firstLine="540"/>
        <w:rPr>
          <w:highlight w:val="none"/>
          <w:shd w:fill="FFFFFF" w:val="clear"/>
        </w:rPr>
      </w:pPr>
      <w:r>
        <w:rPr>
          <w:rFonts w:ascii="Times New Roman" w:hAnsi="Times New Roman"/>
          <w:szCs w:val="28"/>
          <w:shd w:fill="FFFFFF" w:val="clear"/>
        </w:rPr>
        <w:t xml:space="preserve">численность занятых в малом и среднем предпринимательстве, включая индивидуальных предпринимателей и самозанятых, составляет 837,8 тыс. человек, что на 83,4 тыс. человек (на 11,1 процента) больше относительно начала 2024 года; </w:t>
      </w:r>
    </w:p>
    <w:p>
      <w:pPr>
        <w:pStyle w:val="BodyText"/>
        <w:ind w:firstLine="540"/>
        <w:rPr>
          <w:highlight w:val="none"/>
          <w:shd w:fill="FFFFFF" w:val="clear"/>
        </w:rPr>
      </w:pPr>
      <w:r>
        <w:rPr>
          <w:rFonts w:ascii="Times New Roman" w:hAnsi="Times New Roman"/>
          <w:szCs w:val="28"/>
          <w:shd w:fill="FFFFFF" w:val="clear"/>
        </w:rPr>
        <w:t xml:space="preserve">доля занятых в малом и среднем предпринимательстве в общей численности занятых в экономике республики составляет 41,3 процента, что на 4,3 процента больше относительно начала 2024 года; </w:t>
      </w:r>
    </w:p>
    <w:p>
      <w:pPr>
        <w:pStyle w:val="BodyText"/>
        <w:ind w:firstLine="540"/>
        <w:rPr>
          <w:highlight w:val="none"/>
          <w:shd w:fill="FFFFFF" w:val="clear"/>
        </w:rPr>
      </w:pPr>
      <w:r>
        <w:rPr>
          <w:rFonts w:ascii="Times New Roman" w:hAnsi="Times New Roman"/>
          <w:szCs w:val="28"/>
          <w:shd w:fill="FFFFFF" w:val="clear"/>
        </w:rPr>
        <w:t xml:space="preserve">количество самозанятых составляет 357,3 тыс. граждан, что на 51,1 тыс. человек (на 16,7 процента) больше относительно начала 2024 года; </w:t>
      </w:r>
    </w:p>
    <w:p>
      <w:pPr>
        <w:pStyle w:val="BodyText"/>
        <w:ind w:firstLine="540"/>
        <w:rPr>
          <w:highlight w:val="none"/>
          <w:shd w:fill="FFFFFF" w:val="clear"/>
        </w:rPr>
      </w:pPr>
      <w:r>
        <w:rPr>
          <w:rFonts w:ascii="Times New Roman" w:hAnsi="Times New Roman"/>
          <w:szCs w:val="28"/>
          <w:shd w:fill="FFFFFF" w:val="clear"/>
        </w:rPr>
        <w:t>объем налоговых поступлений от субъектов малого и среднего предпринимательства составляет 119,7 млрд рублей, что на 24,5 млрд рублей (на 25,7 процента) больше относительно начала 2024 года</w:t>
      </w:r>
      <w:r>
        <w:rPr>
          <w:rFonts w:ascii="Times New Roman" w:hAnsi="Times New Roman"/>
          <w:szCs w:val="28"/>
          <w:shd w:fill="FFFFFF" w:val="clear"/>
        </w:rPr>
        <w:t xml:space="preserve">. </w:t>
      </w:r>
    </w:p>
    <w:p>
      <w:pPr>
        <w:pStyle w:val="BodyText"/>
        <w:ind w:firstLine="540"/>
        <w:rPr>
          <w:highlight w:val="none"/>
          <w:shd w:fill="FFFFFF" w:val="clear"/>
        </w:rPr>
      </w:pPr>
      <w:r>
        <w:rPr>
          <w:rFonts w:ascii="Times New Roman" w:hAnsi="Times New Roman"/>
          <w:szCs w:val="28"/>
          <w:shd w:fill="FFFFFF" w:val="clear"/>
        </w:rPr>
        <w:t>Важным направлением развития экономики является повышение производительности труда на предприятиях.</w:t>
      </w:r>
    </w:p>
    <w:p>
      <w:pPr>
        <w:pStyle w:val="BodyText"/>
        <w:ind w:firstLine="540"/>
        <w:rPr>
          <w:highlight w:val="none"/>
          <w:shd w:fill="FFFFFF" w:val="clear"/>
        </w:rPr>
      </w:pPr>
      <w:r>
        <w:rPr>
          <w:rFonts w:ascii="Times New Roman" w:hAnsi="Times New Roman"/>
          <w:szCs w:val="28"/>
          <w:shd w:fill="FFFFFF" w:val="clear"/>
        </w:rPr>
        <w:t xml:space="preserve">Инфраструктурой обеспечения производительности труда в Республике Татарстан является региональный центр компетенций в сфере производительности труда Республики Татарстан (далее – РЦК РТ), созданный на базе государственного автономного учреждения «Центр энергоресурсоэффективных технологий Республики Татарстан». </w:t>
      </w:r>
    </w:p>
    <w:p>
      <w:pPr>
        <w:pStyle w:val="BodyText"/>
        <w:ind w:firstLine="540"/>
        <w:rPr>
          <w:highlight w:val="none"/>
          <w:shd w:fill="FFFFFF" w:val="clear"/>
        </w:rPr>
      </w:pPr>
      <w:r>
        <w:rPr>
          <w:rFonts w:ascii="Times New Roman" w:hAnsi="Times New Roman"/>
          <w:szCs w:val="28"/>
          <w:shd w:fill="FFFFFF" w:val="clear"/>
        </w:rPr>
        <w:t>В 2017-2024 годах в мероприятия по повышению производительности труда вовлечено 264 предприятия республики, инструментам «бережливого производства» обучено 4 960 человек. В период до 2030 года количество предприятий увеличится до 608, экспертами РЦК РТ будет реализовано не менее 327 проектов по направлению «Бережливое производство».</w:t>
      </w:r>
    </w:p>
    <w:p>
      <w:pPr>
        <w:pStyle w:val="BodyText"/>
        <w:ind w:firstLine="540"/>
        <w:rPr>
          <w:rFonts w:ascii="Times New Roman" w:hAnsi="Times New Roman"/>
          <w:szCs w:val="28"/>
        </w:rPr>
      </w:pPr>
      <w:r>
        <w:rPr>
          <w:rFonts w:ascii="Times New Roman" w:hAnsi="Times New Roman"/>
          <w:szCs w:val="28"/>
        </w:rPr>
        <w:t xml:space="preserve">В рамках государственной программы Республики Татарстан предусмотрено осуществление финансирования мероприятий, обеспечивающих восстановление занятости и рост экономики, а также долгосрочные структурные изменения в экономике. </w:t>
      </w:r>
    </w:p>
    <w:p>
      <w:pPr>
        <w:pStyle w:val="BodyText"/>
        <w:ind w:firstLine="540"/>
        <w:rPr>
          <w:rFonts w:ascii="Times New Roman" w:hAnsi="Times New Roman"/>
          <w:szCs w:val="28"/>
        </w:rPr>
      </w:pPr>
      <w:r>
        <w:rPr>
          <w:rFonts w:ascii="Times New Roman" w:hAnsi="Times New Roman"/>
          <w:szCs w:val="28"/>
        </w:rPr>
        <w:t xml:space="preserve">Реализация мероприятий государственной программы Республики Татарстан за период 2014 - 2024 годов обеспечила достижение следующих результатов: </w:t>
      </w:r>
    </w:p>
    <w:p>
      <w:pPr>
        <w:pStyle w:val="BodyText"/>
        <w:spacing w:lineRule="auto" w:line="240" w:before="0" w:after="0"/>
        <w:ind w:firstLine="540"/>
        <w:rPr>
          <w:rFonts w:ascii="Times New Roman" w:hAnsi="Times New Roman"/>
          <w:szCs w:val="28"/>
        </w:rPr>
      </w:pPr>
      <w:r>
        <w:rPr>
          <w:rFonts w:ascii="Times New Roman" w:hAnsi="Times New Roman"/>
          <w:szCs w:val="28"/>
        </w:rPr>
        <w:t xml:space="preserve">обеспечено развитие особых экономических зон, включая увеличение объема привлеченных инвестиций, количества созданных рабочих мест; </w:t>
      </w:r>
    </w:p>
    <w:p>
      <w:pPr>
        <w:pStyle w:val="BodyText"/>
        <w:spacing w:lineRule="auto" w:line="240" w:before="0" w:after="0"/>
        <w:ind w:firstLine="540"/>
        <w:rPr/>
      </w:pPr>
      <w:r>
        <w:rPr>
          <w:rFonts w:ascii="Times New Roman" w:hAnsi="Times New Roman"/>
          <w:szCs w:val="28"/>
        </w:rPr>
        <w:t xml:space="preserve">открыт и функционирует Центр «Мой бизнес», а также созданы и функционируют иные организации инфраструктуры поддержки субъектов малого и среднего предпринимательства; </w:t>
      </w:r>
    </w:p>
    <w:p>
      <w:pPr>
        <w:pStyle w:val="BodyText"/>
        <w:spacing w:lineRule="auto" w:line="240" w:before="0" w:after="0"/>
        <w:ind w:firstLine="540"/>
        <w:rPr/>
      </w:pPr>
      <w:r>
        <w:rPr>
          <w:rFonts w:ascii="Times New Roman" w:hAnsi="Times New Roman"/>
          <w:szCs w:val="28"/>
        </w:rPr>
        <w:t xml:space="preserve">завершился процесс по переводу всех государственных и муниципальных услуг в электронный вид, всего на региональном портале государственных и муниципальных услуг выведено 319 государственных и муниципальных услуг; </w:t>
      </w:r>
    </w:p>
    <w:p>
      <w:pPr>
        <w:pStyle w:val="BodyText"/>
        <w:spacing w:lineRule="auto" w:line="240" w:before="0" w:after="0"/>
        <w:ind w:firstLine="540" w:left="0" w:right="0"/>
        <w:jc w:val="both"/>
        <w:rPr>
          <w:highlight w:val="none"/>
          <w:shd w:fill="FFFFFF" w:val="clear"/>
        </w:rPr>
      </w:pPr>
      <w:r>
        <w:rPr>
          <w:rFonts w:ascii="Times New Roman" w:hAnsi="Times New Roman"/>
          <w:b w:val="false"/>
          <w:sz w:val="28"/>
          <w:szCs w:val="28"/>
          <w:shd w:fill="FFFFFF" w:val="clear"/>
        </w:rPr>
        <w:t xml:space="preserve">функционируют межмуниципальные ресурсные центры некоммерческих организаций (далее - НКО), которые осуществляют обучение, консалтинг и сопровождение деятельности НКО за счет средств регионального проекта «Поддержка социально ориентированных некоммерческих организаций в Республике Татарстан» государственной программы Республики Татарстан. Межмуниципальные ресурсные центры поддержки НКО расположены в городах Казани (автономная некоммерческая организация «Центр инновационного развития и трансфера технологий»), Альметьевске (автономная некоммерческая организация ресурсный центр поддержки некоммерческого сектора «Мастерская некоммерческих организаций»), Набережные Челны (автономная некоммерческая организация «Ресурсный центр социально ориентированных некоммерческих организаций «Горизонт»), Кукморе (автономная некоммерческая организация «Ресурсный центр социально ориентированных некоммерческих организаций «Вектор»), Буинске (автономная некоммерческая организация «Ресурсный центр социально ориентированных некоммерческих организаций «Буа Грант»), Чистополе (автономная некоммерческая организация «Ресурсный центр социально ориентированных некоммерческих организаций «Единство»); </w:t>
      </w:r>
    </w:p>
    <w:p>
      <w:pPr>
        <w:pStyle w:val="BodyText"/>
        <w:spacing w:lineRule="auto" w:line="240" w:before="0" w:after="0"/>
        <w:ind w:firstLine="540" w:left="0" w:right="0"/>
        <w:jc w:val="both"/>
        <w:rPr>
          <w:highlight w:val="none"/>
          <w:shd w:fill="FFFFFF" w:val="clear"/>
        </w:rPr>
      </w:pPr>
      <w:r>
        <w:rPr>
          <w:rFonts w:ascii="Times New Roman" w:hAnsi="Times New Roman"/>
          <w:b w:val="false"/>
          <w:sz w:val="28"/>
          <w:szCs w:val="28"/>
          <w:shd w:fill="FFFFFF" w:val="clear"/>
        </w:rPr>
        <w:t xml:space="preserve">функционирует единый грантооператор по проведению конкурсов на предоставление грантов некоммерческим организациям - автономная некоммерческая организация «Республиканский ресурсный центр по поддержке социально ориентированных некоммерческих организаций»; </w:t>
      </w:r>
    </w:p>
    <w:p>
      <w:pPr>
        <w:pStyle w:val="BodyText"/>
        <w:ind w:firstLine="540"/>
        <w:rPr>
          <w:rFonts w:ascii="Times New Roman" w:hAnsi="Times New Roman"/>
          <w:szCs w:val="28"/>
        </w:rPr>
      </w:pPr>
      <w:r>
        <w:rPr>
          <w:rFonts w:ascii="Times New Roman" w:hAnsi="Times New Roman"/>
          <w:szCs w:val="28"/>
        </w:rPr>
        <w:t xml:space="preserve">аккредитованы </w:t>
      </w:r>
      <w:r>
        <w:rPr>
          <w:rFonts w:ascii="Times New Roman" w:hAnsi="Times New Roman"/>
          <w:szCs w:val="28"/>
        </w:rPr>
        <w:t>94</w:t>
      </w:r>
      <w:r>
        <w:rPr>
          <w:rFonts w:ascii="Times New Roman" w:hAnsi="Times New Roman"/>
          <w:szCs w:val="28"/>
        </w:rPr>
        <w:t xml:space="preserve"> промышленных парка для дальнейшего предоставления им комплекса мер поддержки; </w:t>
      </w:r>
    </w:p>
    <w:p>
      <w:pPr>
        <w:pStyle w:val="BodyText"/>
        <w:ind w:firstLine="540"/>
        <w:rPr>
          <w:rFonts w:ascii="Times New Roman" w:hAnsi="Times New Roman"/>
          <w:szCs w:val="28"/>
        </w:rPr>
      </w:pPr>
      <w:r>
        <w:rPr>
          <w:rFonts w:ascii="Times New Roman" w:hAnsi="Times New Roman"/>
          <w:szCs w:val="28"/>
        </w:rPr>
        <w:t xml:space="preserve">отрасли экономики обеспечены высококвалифицированными управленческими кадрами; </w:t>
      </w:r>
    </w:p>
    <w:p>
      <w:pPr>
        <w:pStyle w:val="BodyText"/>
        <w:ind w:firstLine="540"/>
        <w:rPr>
          <w:rFonts w:ascii="Times New Roman" w:hAnsi="Times New Roman"/>
          <w:szCs w:val="28"/>
        </w:rPr>
      </w:pPr>
      <w:r>
        <w:rPr>
          <w:rFonts w:ascii="Times New Roman" w:hAnsi="Times New Roman"/>
          <w:szCs w:val="28"/>
        </w:rPr>
        <w:t xml:space="preserve">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Республики Татарстан. </w:t>
      </w:r>
    </w:p>
    <w:p>
      <w:pPr>
        <w:pStyle w:val="BodyText"/>
        <w:ind w:firstLine="540"/>
        <w:rPr>
          <w:rFonts w:ascii="Times New Roman" w:hAnsi="Times New Roman"/>
          <w:szCs w:val="28"/>
        </w:rPr>
      </w:pPr>
      <w:r>
        <w:rPr>
          <w:rFonts w:ascii="Times New Roman" w:hAnsi="Times New Roman"/>
          <w:szCs w:val="28"/>
        </w:rPr>
        <w:t xml:space="preserve">Для повышения эффективности использования средств, предусмотренных на реализацию государственной программы Республики Татарстан, вносятся корректировки в перечень мероприятий, совершенствуется набор инструментов, необходимых для реализации мероприятий государственной программы Республики Татарстан, неэффективные меры исключаются. </w:t>
      </w:r>
    </w:p>
    <w:p>
      <w:pPr>
        <w:pStyle w:val="BodyText"/>
        <w:ind w:firstLine="540"/>
        <w:rPr>
          <w:rFonts w:ascii="Times New Roman" w:hAnsi="Times New Roman"/>
          <w:szCs w:val="28"/>
        </w:rPr>
      </w:pPr>
      <w:r>
        <w:rPr>
          <w:rFonts w:ascii="Times New Roman" w:hAnsi="Times New Roman"/>
          <w:szCs w:val="28"/>
        </w:rPr>
        <w:t xml:space="preserve">Имеется тенденция постепенной консолидации мероприятий: от узкоотраслевых к более универсальным, а также создания единых субсидий, которые позволяют перераспределять бюджетные средства в пользу наиболее перспективных направлений, не меняя общих принципов стимулирования. </w:t>
      </w:r>
    </w:p>
    <w:p>
      <w:pPr>
        <w:pStyle w:val="BodyText"/>
        <w:rPr>
          <w:rFonts w:ascii="Times New Roman" w:hAnsi="Times New Roman"/>
          <w:szCs w:val="28"/>
        </w:rPr>
      </w:pP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II. Описание приоритетов и целей государственной политики</w:t>
      </w: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Республики Татарстан в сфере реализации государственной</w:t>
      </w: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программы Республики Татарстан</w:t>
      </w:r>
      <w:r>
        <w:rPr>
          <w:rFonts w:ascii="Times New Roman" w:hAnsi="Times New Roman"/>
          <w:szCs w:val="28"/>
        </w:rPr>
        <w:t xml:space="preserve"> </w:t>
      </w:r>
    </w:p>
    <w:p>
      <w:pPr>
        <w:pStyle w:val="BodyText"/>
        <w:rPr>
          <w:rFonts w:ascii="Times New Roman" w:hAnsi="Times New Roman"/>
          <w:szCs w:val="28"/>
        </w:rPr>
      </w:pPr>
      <w:r>
        <w:rPr>
          <w:rFonts w:ascii="Times New Roman" w:hAnsi="Times New Roman"/>
          <w:szCs w:val="28"/>
        </w:rPr>
        <w:t xml:space="preserve"> </w:t>
      </w:r>
    </w:p>
    <w:p>
      <w:pPr>
        <w:pStyle w:val="BodyText"/>
        <w:ind w:firstLine="540"/>
        <w:rPr/>
      </w:pPr>
      <w:r>
        <w:rPr>
          <w:rFonts w:ascii="Times New Roman" w:hAnsi="Times New Roman"/>
          <w:szCs w:val="28"/>
        </w:rPr>
        <w:t xml:space="preserve">Приоритеты государственной программы Республики Татарстан соответствуют Указу Президента Российской Федерации от 7 мая 2024 года № 309 "О национальных целях развития Российской Федерации на период до 2030 года и на перспективу до 2036 года", Единому плану по достижению национальных целей развития Российской Федерации на период до 2024 года и на плановый период до 2030 года, утвержденному распоряжением Правительства Российской Федерации от 1 октября 2021 г. № 2765-р, а также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Стратегия-2030). </w:t>
      </w:r>
    </w:p>
    <w:p>
      <w:pPr>
        <w:pStyle w:val="BodyText"/>
        <w:ind w:firstLine="540"/>
        <w:rPr>
          <w:rFonts w:ascii="Times New Roman" w:hAnsi="Times New Roman"/>
          <w:szCs w:val="28"/>
        </w:rPr>
      </w:pPr>
      <w:r>
        <w:rPr>
          <w:rFonts w:ascii="Times New Roman" w:hAnsi="Times New Roman"/>
          <w:szCs w:val="28"/>
        </w:rPr>
        <w:t xml:space="preserve">В целях преодоления актуальных вызовов, с которыми сталкивается экономика Республики Татарстан, а также достижения стратегических целей и задач социально-экономического развития Республики Татарстан определена цель, разработаны структура и система показателей государственной программы Республики Татарстан. </w:t>
      </w:r>
    </w:p>
    <w:p>
      <w:pPr>
        <w:pStyle w:val="BodyText"/>
        <w:spacing w:lineRule="auto" w:line="240" w:before="0" w:after="0"/>
        <w:ind w:firstLine="540"/>
        <w:rPr/>
      </w:pPr>
      <w:r>
        <w:rPr>
          <w:rFonts w:ascii="Times New Roman" w:hAnsi="Times New Roman"/>
          <w:szCs w:val="28"/>
        </w:rPr>
        <w:t xml:space="preserve">Целью государственной программы Республики Татарстан является обеспечение социально-экономической стабильности и развития экономики Республики Татарстан, которая характеризуется достижением следующих показателей: </w:t>
      </w:r>
    </w:p>
    <w:p>
      <w:pPr>
        <w:pStyle w:val="BodyText"/>
        <w:spacing w:lineRule="auto" w:line="240" w:before="0" w:after="0"/>
        <w:ind w:firstLine="540" w:left="0" w:right="0"/>
        <w:jc w:val="both"/>
        <w:rPr>
          <w:highlight w:val="none"/>
          <w:shd w:fill="FFFFFF" w:val="clear"/>
        </w:rPr>
      </w:pPr>
      <w:r>
        <w:rPr>
          <w:rFonts w:ascii="Times New Roman" w:hAnsi="Times New Roman"/>
          <w:b w:val="false"/>
          <w:sz w:val="28"/>
          <w:szCs w:val="28"/>
          <w:shd w:fill="FFFFFF" w:val="clear"/>
        </w:rPr>
        <w:t xml:space="preserve">увеличение реального среднедушевого денежного дохода населения в 2028 году относительно базового 2020 года на 32,1 процента; </w:t>
      </w:r>
    </w:p>
    <w:p>
      <w:pPr>
        <w:pStyle w:val="BodyText"/>
        <w:spacing w:lineRule="auto" w:line="240" w:before="0" w:after="0"/>
        <w:ind w:firstLine="540"/>
        <w:rPr>
          <w:highlight w:val="none"/>
          <w:shd w:fill="FFFFFF" w:val="clear"/>
        </w:rPr>
      </w:pPr>
      <w:r>
        <w:rPr>
          <w:rFonts w:ascii="Times New Roman" w:hAnsi="Times New Roman"/>
          <w:szCs w:val="28"/>
          <w:shd w:fill="FFFFFF" w:val="clear"/>
        </w:rPr>
        <w:t xml:space="preserve">увеличение доли инвестиций в основной капитал в валовом региональном продукте в 2026 году до 23,5 процента; </w:t>
      </w:r>
    </w:p>
    <w:p>
      <w:pPr>
        <w:pStyle w:val="BodyText"/>
        <w:ind w:firstLine="540"/>
        <w:rPr>
          <w:highlight w:val="none"/>
          <w:shd w:fill="FFFFFF" w:val="clear"/>
        </w:rPr>
      </w:pPr>
      <w:r>
        <w:rPr>
          <w:rFonts w:ascii="Times New Roman" w:hAnsi="Times New Roman"/>
          <w:szCs w:val="28"/>
          <w:shd w:fill="FFFFFF" w:val="clear"/>
        </w:rPr>
        <w:t xml:space="preserve">достижение ежегодной 50-процентной доли предприятий, достигших ежегодного 5-процентного прироста производительности труда на предприятиях - участниках федерального проекта "Производительность труда", внедряющих мероприятия по повышению производительности труда под федеральным и региональным управлением; </w:t>
      </w:r>
    </w:p>
    <w:p>
      <w:pPr>
        <w:pStyle w:val="BodyText"/>
        <w:ind w:firstLine="540"/>
        <w:rPr>
          <w:highlight w:val="none"/>
          <w:shd w:fill="FFFFFF" w:val="clear"/>
        </w:rPr>
      </w:pPr>
      <w:r>
        <w:rPr>
          <w:rFonts w:eastAsia="Source Han Sans CN Regular" w:cs="Lohit Devanagari" w:ascii="Times New Roman" w:hAnsi="Times New Roman"/>
          <w:strike w:val="false"/>
          <w:dstrike w:val="false"/>
          <w:color w:val="000000"/>
          <w:kern w:val="2"/>
          <w:sz w:val="28"/>
          <w:szCs w:val="28"/>
          <w:shd w:fill="FFFFFF" w:val="clear"/>
          <w:lang w:val="ru-RU" w:eastAsia="ru-RU" w:bidi="ru-RU"/>
        </w:rPr>
        <w:t xml:space="preserve">обеспечение общей заполняемости индустриальных (промышленных) парков на территории Республики Татарстан на уровне не ниже 70 %; </w:t>
      </w:r>
    </w:p>
    <w:p>
      <w:pPr>
        <w:pStyle w:val="BodyText"/>
        <w:ind w:firstLine="540"/>
        <w:rPr/>
      </w:pPr>
      <w:r>
        <w:rPr>
          <w:rFonts w:ascii="Times New Roman" w:hAnsi="Times New Roman"/>
          <w:strike w:val="false"/>
          <w:dstrike w:val="false"/>
          <w:szCs w:val="28"/>
          <w:shd w:fill="FFFFFF" w:val="clear"/>
        </w:rPr>
        <w:t xml:space="preserve">качественный рост субъектов малого и среднего предпринимательства.   </w:t>
        <w:tab/>
      </w:r>
      <w:r>
        <w:rPr>
          <w:rFonts w:ascii="Times New Roman" w:hAnsi="Times New Roman"/>
          <w:szCs w:val="28"/>
          <w:shd w:fill="FFFFFF" w:val="clear"/>
        </w:rPr>
        <w:t xml:space="preserve"> </w:t>
      </w:r>
    </w:p>
    <w:p>
      <w:pPr>
        <w:pStyle w:val="BodyText"/>
        <w:rPr>
          <w:rFonts w:ascii="Times New Roman" w:hAnsi="Times New Roman"/>
          <w:szCs w:val="28"/>
        </w:rPr>
      </w:pP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III. Сведения о взаимосвязи со стратегическими приоритетами,</w:t>
      </w: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национальными целями и целями Стратегии-2030, показателями</w:t>
      </w: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государственных программ Российской Федерации</w:t>
      </w:r>
      <w:r>
        <w:rPr>
          <w:rFonts w:ascii="Times New Roman" w:hAnsi="Times New Roman"/>
          <w:szCs w:val="28"/>
        </w:rPr>
        <w:t xml:space="preserve"> </w:t>
      </w:r>
    </w:p>
    <w:p>
      <w:pPr>
        <w:pStyle w:val="BodyText"/>
        <w:rPr>
          <w:rFonts w:ascii="Times New Roman" w:hAnsi="Times New Roman"/>
          <w:szCs w:val="28"/>
        </w:rPr>
      </w:pPr>
      <w:r>
        <w:rPr>
          <w:rFonts w:ascii="Times New Roman" w:hAnsi="Times New Roman"/>
          <w:szCs w:val="28"/>
        </w:rPr>
        <w:t xml:space="preserve"> </w:t>
      </w:r>
    </w:p>
    <w:p>
      <w:pPr>
        <w:pStyle w:val="BodyText"/>
        <w:ind w:firstLine="540"/>
        <w:rPr/>
      </w:pPr>
      <w:r>
        <w:rPr>
          <w:rFonts w:ascii="Times New Roman" w:hAnsi="Times New Roman"/>
          <w:szCs w:val="28"/>
        </w:rPr>
        <w:t xml:space="preserve">Система целеполагания и задачи государственной программы Республики Татарстан сформированы с учетом национальных целей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r>
        <w:rPr>
          <w:rFonts w:ascii="Times New Roman" w:hAnsi="Times New Roman"/>
          <w:b w:val="false"/>
          <w:sz w:val="28"/>
          <w:szCs w:val="28"/>
          <w:shd w:fill="FFFFFF" w:val="clear"/>
        </w:rPr>
        <w:t xml:space="preserve">Единого плана по достижению национальных целей развития Российской Федерации на период до 2030 года и на плановый период до 2036 года, </w:t>
      </w:r>
      <w:r>
        <w:rPr>
          <w:rFonts w:ascii="Times New Roman" w:hAnsi="Times New Roman"/>
          <w:szCs w:val="28"/>
        </w:rPr>
        <w:t xml:space="preserve">а также Стратагии-2030. </w:t>
      </w:r>
    </w:p>
    <w:p>
      <w:pPr>
        <w:pStyle w:val="BodyText"/>
        <w:ind w:firstLine="540"/>
        <w:rPr>
          <w:rFonts w:ascii="Times New Roman" w:hAnsi="Times New Roman"/>
          <w:szCs w:val="28"/>
        </w:rPr>
      </w:pPr>
      <w:r>
        <w:rPr>
          <w:rFonts w:ascii="Times New Roman" w:hAnsi="Times New Roman"/>
          <w:szCs w:val="28"/>
        </w:rPr>
        <w:t xml:space="preserve">Реализация государственной программы Республики Татарстан будет непосредственно направлена: </w:t>
      </w:r>
    </w:p>
    <w:p>
      <w:pPr>
        <w:pStyle w:val="BodyText"/>
        <w:ind w:firstLine="540"/>
        <w:rPr>
          <w:rFonts w:ascii="Times New Roman" w:hAnsi="Times New Roman"/>
          <w:szCs w:val="28"/>
        </w:rPr>
      </w:pPr>
      <w:r>
        <w:rPr>
          <w:rFonts w:ascii="Times New Roman" w:hAnsi="Times New Roman"/>
          <w:szCs w:val="28"/>
        </w:rPr>
        <w:t>на достижение национальных целей развития Российской Федерации на период до 2030 года «Достойный, эффективный труд и успешное предпринимательство»</w:t>
      </w:r>
      <w:r>
        <w:rPr>
          <w:rFonts w:ascii="Times New Roman" w:hAnsi="Times New Roman"/>
          <w:szCs w:val="28"/>
          <w:shd w:fill="FFFFFF" w:val="clear"/>
        </w:rPr>
        <w:t xml:space="preserve"> и «Устойчивая и динамичная экономика»; </w:t>
      </w:r>
    </w:p>
    <w:p>
      <w:pPr>
        <w:pStyle w:val="BodyText"/>
        <w:ind w:firstLine="540"/>
        <w:rPr/>
      </w:pPr>
      <w:r>
        <w:rPr>
          <w:rFonts w:ascii="Times New Roman" w:hAnsi="Times New Roman"/>
          <w:szCs w:val="28"/>
        </w:rPr>
        <w:t xml:space="preserve">на реализацию пяти целей Стратегии-2030: человеческий капитал; пространство, реальный капитал; институты; инновации и информация; финансовый капитал. </w:t>
      </w:r>
    </w:p>
    <w:p>
      <w:pPr>
        <w:pStyle w:val="BodyText"/>
        <w:jc w:val="center"/>
        <w:rPr>
          <w:rFonts w:ascii="Times New Roman" w:hAnsi="Times New Roman"/>
          <w:szCs w:val="28"/>
        </w:rPr>
      </w:pPr>
      <w:r>
        <w:rPr>
          <w:rFonts w:ascii="Times New Roman" w:hAnsi="Times New Roman"/>
          <w:szCs w:val="28"/>
        </w:rPr>
      </w:r>
    </w:p>
    <w:p>
      <w:pPr>
        <w:pStyle w:val="BodyText"/>
        <w:jc w:val="center"/>
        <w:rPr>
          <w:rFonts w:ascii="Times New Roman" w:hAnsi="Times New Roman"/>
          <w:szCs w:val="28"/>
        </w:rPr>
      </w:pPr>
      <w:r>
        <w:rPr>
          <w:rFonts w:ascii="Times New Roman" w:hAnsi="Times New Roman"/>
          <w:b/>
          <w:szCs w:val="28"/>
        </w:rPr>
        <w:t>IV. Задачи государственного управления, способы их</w:t>
      </w: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эффективного решения в отраслях экономики и сфере</w:t>
      </w:r>
      <w:r>
        <w:rPr>
          <w:rFonts w:ascii="Times New Roman" w:hAnsi="Times New Roman"/>
          <w:szCs w:val="28"/>
        </w:rPr>
        <w:t xml:space="preserve"> </w:t>
      </w:r>
    </w:p>
    <w:p>
      <w:pPr>
        <w:pStyle w:val="BodyText"/>
        <w:jc w:val="center"/>
        <w:rPr>
          <w:rFonts w:ascii="Times New Roman" w:hAnsi="Times New Roman"/>
          <w:szCs w:val="28"/>
        </w:rPr>
      </w:pPr>
      <w:r>
        <w:rPr>
          <w:rFonts w:ascii="Times New Roman" w:hAnsi="Times New Roman"/>
          <w:b/>
          <w:szCs w:val="28"/>
        </w:rPr>
        <w:t>государственного управления</w:t>
      </w:r>
      <w:r>
        <w:rPr>
          <w:rFonts w:ascii="Times New Roman" w:hAnsi="Times New Roman"/>
          <w:szCs w:val="28"/>
        </w:rPr>
        <w:t xml:space="preserve"> </w:t>
      </w:r>
    </w:p>
    <w:p>
      <w:pPr>
        <w:pStyle w:val="BodyText"/>
        <w:rPr>
          <w:rFonts w:ascii="Times New Roman" w:hAnsi="Times New Roman"/>
          <w:szCs w:val="28"/>
        </w:rPr>
      </w:pPr>
      <w:r>
        <w:rPr>
          <w:rFonts w:ascii="Times New Roman" w:hAnsi="Times New Roman"/>
          <w:szCs w:val="28"/>
        </w:rPr>
      </w:r>
    </w:p>
    <w:p>
      <w:pPr>
        <w:pStyle w:val="BodyText"/>
        <w:ind w:firstLine="540"/>
        <w:rPr>
          <w:rFonts w:ascii="Times New Roman" w:hAnsi="Times New Roman"/>
          <w:szCs w:val="28"/>
        </w:rPr>
      </w:pPr>
      <w:r>
        <w:rPr>
          <w:rFonts w:ascii="Times New Roman" w:hAnsi="Times New Roman"/>
          <w:szCs w:val="28"/>
        </w:rPr>
        <w:t xml:space="preserve">Для достижения цели государственной программы Республики Татарстан по обеспечению социально-экономической стабильности и развития экономики Республики Татарстан решаются следующие задачи: </w:t>
      </w:r>
    </w:p>
    <w:p>
      <w:pPr>
        <w:pStyle w:val="BodyText"/>
        <w:ind w:firstLine="540"/>
        <w:rPr>
          <w:rFonts w:ascii="Times New Roman" w:hAnsi="Times New Roman"/>
          <w:szCs w:val="28"/>
        </w:rPr>
      </w:pPr>
      <w:r>
        <w:rPr>
          <w:rFonts w:ascii="Times New Roman" w:hAnsi="Times New Roman"/>
          <w:szCs w:val="28"/>
        </w:rPr>
        <w:t xml:space="preserve">обеспечение эффективного государственного управления, программирования социально-экономического развития Республики Татарстан и обеспечение бесперебойной работы предприятий всех отраслей экономики; </w:t>
      </w:r>
    </w:p>
    <w:p>
      <w:pPr>
        <w:pStyle w:val="BodyText"/>
        <w:ind w:firstLine="540"/>
        <w:rPr>
          <w:rFonts w:ascii="Times New Roman" w:hAnsi="Times New Roman"/>
          <w:szCs w:val="28"/>
        </w:rPr>
      </w:pPr>
      <w:r>
        <w:rPr>
          <w:rFonts w:ascii="Times New Roman" w:hAnsi="Times New Roman"/>
          <w:szCs w:val="28"/>
        </w:rPr>
        <w:t xml:space="preserve">сбалансированное развитие муниципальных образований; </w:t>
      </w:r>
    </w:p>
    <w:p>
      <w:pPr>
        <w:pStyle w:val="BodyText"/>
        <w:ind w:firstLine="540"/>
        <w:rPr>
          <w:rFonts w:ascii="Times New Roman" w:hAnsi="Times New Roman"/>
          <w:szCs w:val="28"/>
        </w:rPr>
      </w:pPr>
      <w:r>
        <w:rPr>
          <w:rFonts w:ascii="Times New Roman" w:hAnsi="Times New Roman"/>
          <w:szCs w:val="28"/>
        </w:rPr>
        <w:t xml:space="preserve">стимулирование инвестиционной активности; </w:t>
      </w:r>
    </w:p>
    <w:p>
      <w:pPr>
        <w:pStyle w:val="BodyText"/>
        <w:ind w:firstLine="540"/>
        <w:rPr>
          <w:rFonts w:ascii="Times New Roman" w:hAnsi="Times New Roman"/>
          <w:szCs w:val="28"/>
        </w:rPr>
      </w:pPr>
      <w:r>
        <w:rPr>
          <w:rFonts w:ascii="Times New Roman" w:hAnsi="Times New Roman"/>
          <w:szCs w:val="28"/>
        </w:rPr>
        <w:t xml:space="preserve">повышение производительности труда; </w:t>
      </w:r>
    </w:p>
    <w:p>
      <w:pPr>
        <w:pStyle w:val="BodyText"/>
        <w:ind w:firstLine="540"/>
        <w:rPr>
          <w:rFonts w:ascii="Times New Roman" w:hAnsi="Times New Roman"/>
          <w:szCs w:val="28"/>
        </w:rPr>
      </w:pPr>
      <w:r>
        <w:rPr>
          <w:rFonts w:eastAsia="Times New Roman" w:cs="Times New Roman" w:ascii="Times New Roman" w:hAnsi="Times New Roman"/>
          <w:color w:val="000000"/>
          <w:sz w:val="28"/>
          <w:szCs w:val="28"/>
        </w:rPr>
        <w:t xml:space="preserve">развитие малого и среднего предпринимательства. </w:t>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bidi w:val="0"/>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sectPr>
      <w:headerReference w:type="default" r:id="rId2"/>
      <w:footerReference w:type="default" r:id="rId3"/>
      <w:type w:val="nextPage"/>
      <w:pgSz w:w="11906" w:h="16838"/>
      <w:pgMar w:left="1134" w:right="567" w:gutter="0" w:header="567" w:top="1134" w:footer="567"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Times New Roman">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fldChar w:fldCharType="begin"/>
    </w:r>
    <w:r>
      <w:rPr/>
      <w:instrText xml:space="preserve"> PAGE </w:instrText>
    </w:r>
    <w:r>
      <w:rPr/>
      <w:fldChar w:fldCharType="separate"/>
    </w:r>
    <w:r>
      <w:rPr/>
      <w:t>7</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Heading1">
    <w:name w:val="Heading 1"/>
    <w:basedOn w:val="Style23"/>
    <w:next w:val="BodyTextFirstIndent"/>
    <w:qFormat/>
    <w:pPr>
      <w:numPr>
        <w:ilvl w:val="0"/>
        <w:numId w:val="0"/>
      </w:numPr>
      <w:spacing w:before="0" w:after="0"/>
      <w:outlineLvl w:val="0"/>
    </w:pPr>
    <w:rPr/>
  </w:style>
  <w:style w:type="paragraph" w:styleId="Heading2">
    <w:name w:val="Heading 2"/>
    <w:basedOn w:val="Style23"/>
    <w:next w:val="BodyText"/>
    <w:qFormat/>
    <w:pPr>
      <w:numPr>
        <w:ilvl w:val="0"/>
        <w:numId w:val="0"/>
      </w:numPr>
      <w:spacing w:before="0" w:after="0"/>
      <w:outlineLvl w:val="1"/>
    </w:pPr>
    <w:rPr/>
  </w:style>
  <w:style w:type="paragraph" w:styleId="Heading3">
    <w:name w:val="Heading 3"/>
    <w:basedOn w:val="Style23"/>
    <w:next w:val="BodyText"/>
    <w:qFormat/>
    <w:pPr>
      <w:numPr>
        <w:ilvl w:val="0"/>
        <w:numId w:val="0"/>
      </w:numPr>
      <w:spacing w:before="0" w:after="0"/>
      <w:outlineLvl w:val="2"/>
    </w:pPr>
    <w:rPr/>
  </w:style>
  <w:style w:type="paragraph" w:styleId="Heading4">
    <w:name w:val="Heading 4"/>
    <w:basedOn w:val="Style23"/>
    <w:next w:val="BodyText"/>
    <w:qFormat/>
    <w:pPr>
      <w:numPr>
        <w:ilvl w:val="0"/>
        <w:numId w:val="0"/>
      </w:numPr>
      <w:spacing w:before="0" w:after="0"/>
    </w:pPr>
    <w:rPr/>
  </w:style>
  <w:style w:type="paragraph" w:styleId="Heading5">
    <w:name w:val="Heading 5"/>
    <w:basedOn w:val="Style23"/>
    <w:next w:val="BodyText"/>
    <w:qFormat/>
    <w:pPr>
      <w:numPr>
        <w:ilvl w:val="0"/>
        <w:numId w:val="0"/>
      </w:numPr>
      <w:spacing w:before="0" w:after="0"/>
    </w:pPr>
    <w:rPr/>
  </w:style>
  <w:style w:type="paragraph" w:styleId="Heading6">
    <w:name w:val="Heading 6"/>
    <w:basedOn w:val="Style23"/>
    <w:next w:val="BodyText"/>
    <w:qFormat/>
    <w:pPr>
      <w:numPr>
        <w:ilvl w:val="0"/>
        <w:numId w:val="0"/>
      </w:numPr>
    </w:pPr>
    <w:rPr/>
  </w:style>
  <w:style w:type="paragraph" w:styleId="Heading7">
    <w:name w:val="Heading 7"/>
    <w:basedOn w:val="Style23"/>
    <w:next w:val="BodyText"/>
    <w:qFormat/>
    <w:pPr>
      <w:numPr>
        <w:ilvl w:val="0"/>
        <w:numId w:val="0"/>
      </w:numPr>
      <w:spacing w:before="0" w:after="0"/>
    </w:pPr>
    <w:rPr/>
  </w:style>
  <w:style w:type="paragraph" w:styleId="Heading8">
    <w:name w:val="Heading 8"/>
    <w:basedOn w:val="Style23"/>
    <w:next w:val="BodyText"/>
    <w:qFormat/>
    <w:pPr>
      <w:numPr>
        <w:ilvl w:val="0"/>
        <w:numId w:val="0"/>
      </w:numPr>
      <w:spacing w:before="0" w:after="0"/>
    </w:pPr>
    <w:rPr/>
  </w:style>
  <w:style w:type="paragraph" w:styleId="Heading9">
    <w:name w:val="Heading 9"/>
    <w:basedOn w:val="Style23"/>
    <w:next w:val="BodyText"/>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vertAlign w:val="superscrip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Style10">
    <w:name w:val="Заполнитель"/>
    <w:qFormat/>
    <w:rPr>
      <w:smallCaps/>
      <w:color w:val="008080"/>
      <w:u w:val="dotted"/>
    </w:rPr>
  </w:style>
  <w:style w:type="character" w:styleId="Style11">
    <w:name w:val="Ссылка указателя"/>
    <w:qFormat/>
    <w:rPr/>
  </w:style>
  <w:style w:type="character" w:styleId="Style12">
    <w:name w:val="Символ концевой сноски"/>
    <w:qFormat/>
    <w:rPr>
      <w:vertAlign w:val="superscript"/>
    </w:rPr>
  </w:style>
  <w:style w:type="character" w:styleId="LineNumber">
    <w:name w:val="Line Number"/>
    <w:rPr/>
  </w:style>
  <w:style w:type="character" w:styleId="Style13">
    <w:name w:val="Основной элемент указателя"/>
    <w:qFormat/>
    <w:rPr>
      <w:b/>
      <w:bCs/>
    </w:rPr>
  </w:style>
  <w:style w:type="character" w:styleId="EndnoteReference">
    <w:name w:val="Endnote Reference"/>
    <w:rPr>
      <w:vertAlign w:val="superscript"/>
    </w:rPr>
  </w:style>
  <w:style w:type="character" w:styleId="Style14">
    <w:name w:val="Фуригана"/>
    <w:qFormat/>
    <w:rPr>
      <w:sz w:val="12"/>
      <w:szCs w:val="12"/>
      <w:u w:val="none"/>
      <w:em w:val="none"/>
    </w:rPr>
  </w:style>
  <w:style w:type="character" w:styleId="Style15">
    <w:name w:val="Вертикальное направление символов"/>
    <w:qFormat/>
    <w:rPr>
      <w:eastAsianLayout w:vert="true"/>
    </w:rPr>
  </w:style>
  <w:style w:type="character" w:styleId="Emphasis">
    <w:name w:val="Emphasis"/>
    <w:qFormat/>
    <w:rPr>
      <w:i/>
      <w:iCs/>
    </w:rPr>
  </w:style>
  <w:style w:type="character" w:styleId="Style16">
    <w:name w:val="Цитата"/>
    <w:qFormat/>
    <w:rPr>
      <w:i/>
      <w:iCs/>
    </w:rPr>
  </w:style>
  <w:style w:type="character" w:styleId="Strong">
    <w:name w:val="Strong"/>
    <w:qFormat/>
    <w:rPr>
      <w:b/>
      <w:bCs/>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iCs/>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paragraph" w:styleId="Style23">
    <w:name w:val="Заголовок"/>
    <w:basedOn w:val="Normal"/>
    <w:next w:val="BodyTextFirstIndent"/>
    <w:qFormat/>
    <w:pPr>
      <w:keepNext w:val="false"/>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iCs w:val="false"/>
      <w:sz w:val="28"/>
      <w:szCs w:val="24"/>
    </w:rPr>
  </w:style>
  <w:style w:type="paragraph" w:styleId="Style24">
    <w:name w:val="Указатель"/>
    <w:basedOn w:val="Normal"/>
    <w:qFormat/>
    <w:pPr>
      <w:jc w:val="left"/>
    </w:pPr>
    <w:rPr>
      <w:rFonts w:cs="Lohit Devanagari"/>
    </w:rPr>
  </w:style>
  <w:style w:type="paragraph" w:styleId="Style25">
    <w:name w:val="Блочная цитата"/>
    <w:basedOn w:val="Normal"/>
    <w:qFormat/>
    <w:pPr>
      <w:spacing w:before="0" w:after="0"/>
      <w:ind w:hanging="0" w:left="0" w:right="0"/>
    </w:pPr>
    <w:rPr/>
  </w:style>
  <w:style w:type="paragraph" w:styleId="Title">
    <w:name w:val="Title"/>
    <w:basedOn w:val="Normal"/>
    <w:next w:val="BodyTextFirstIndent"/>
    <w:qFormat/>
    <w:pPr>
      <w:spacing w:before="0" w:after="170"/>
    </w:pPr>
    <w:rPr>
      <w:b/>
    </w:rPr>
  </w:style>
  <w:style w:type="paragraph" w:styleId="Subtitle">
    <w:name w:val="Subtitle"/>
    <w:basedOn w:val="Normal"/>
    <w:next w:val="BodyTextFirstIndent"/>
    <w:qFormat/>
    <w:pPr>
      <w:spacing w:before="0" w:after="0"/>
      <w:ind w:hanging="0" w:left="709" w:right="0"/>
      <w:jc w:val="both"/>
    </w:pPr>
    <w:rPr>
      <w:b/>
    </w:rPr>
  </w:style>
  <w:style w:type="paragraph" w:styleId="BodyTextFirstIndent">
    <w:name w:val="Body Text First Indent"/>
    <w:basedOn w:val="Normal"/>
    <w:pPr>
      <w:ind w:firstLine="709" w:left="0" w:right="0"/>
      <w:jc w:val="both"/>
    </w:pPr>
    <w:rPr/>
  </w:style>
  <w:style w:type="paragraph" w:styleId="Style26">
    <w:name w:val="Обратный отступ"/>
    <w:basedOn w:val="BodyText"/>
    <w:qFormat/>
    <w:pPr>
      <w:tabs>
        <w:tab w:val="clear" w:pos="709"/>
        <w:tab w:val="left" w:pos="0" w:leader="none"/>
      </w:tabs>
      <w:ind w:hanging="0" w:left="0" w:right="0"/>
    </w:pPr>
    <w:rPr/>
  </w:style>
  <w:style w:type="paragraph" w:styleId="BodyTextIndent">
    <w:name w:val="Body Text Indent"/>
    <w:basedOn w:val="BodyText"/>
    <w:pPr>
      <w:ind w:hanging="0" w:left="0" w:right="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left="0" w:right="0"/>
      <w:jc w:val="left"/>
    </w:pPr>
    <w:rPr/>
  </w:style>
  <w:style w:type="paragraph" w:styleId="Style27">
    <w:name w:val="Отступы"/>
    <w:basedOn w:val="BodyText"/>
    <w:qFormat/>
    <w:pPr>
      <w:tabs>
        <w:tab w:val="clear" w:pos="709"/>
        <w:tab w:val="left" w:pos="0" w:leader="none"/>
      </w:tabs>
      <w:ind w:hanging="0" w:left="0" w:right="0"/>
    </w:pPr>
    <w:rPr/>
  </w:style>
  <w:style w:type="paragraph" w:styleId="AnnotationText">
    <w:name w:val="Annotation Text"/>
    <w:basedOn w:val="BodyText"/>
    <w:pPr>
      <w:ind w:hanging="0" w:left="0" w:right="0"/>
    </w:pPr>
    <w:rPr/>
  </w:style>
  <w:style w:type="paragraph" w:styleId="10">
    <w:name w:val="Заголовок 10"/>
    <w:basedOn w:val="Style23"/>
    <w:next w:val="BodyText"/>
    <w:qFormat/>
    <w:pPr>
      <w:numPr>
        <w:ilvl w:val="0"/>
        <w:numId w:val="0"/>
      </w:numPr>
      <w:spacing w:before="0" w:after="0"/>
    </w:pPr>
    <w:rPr/>
  </w:style>
  <w:style w:type="paragraph" w:styleId="1">
    <w:name w:val="Нумерованный 1 начало"/>
    <w:basedOn w:val="List"/>
    <w:next w:val="ListNumber"/>
    <w:qFormat/>
    <w:pPr>
      <w:spacing w:before="0" w:after="0"/>
      <w:ind w:hanging="0" w:left="0" w:right="0"/>
    </w:pPr>
    <w:rPr/>
  </w:style>
  <w:style w:type="paragraph" w:styleId="ListNumber">
    <w:name w:val="List Number"/>
    <w:basedOn w:val="List"/>
    <w:pPr>
      <w:numPr>
        <w:ilvl w:val="0"/>
        <w:numId w:val="1"/>
      </w:numPr>
      <w:spacing w:before="0" w:after="0"/>
    </w:pPr>
    <w:rPr/>
  </w:style>
  <w:style w:type="paragraph" w:styleId="11">
    <w:name w:val="Нумерованный 1 конец"/>
    <w:basedOn w:val="List"/>
    <w:next w:val="ListNumber"/>
    <w:qFormat/>
    <w:pPr>
      <w:spacing w:before="0" w:after="0"/>
      <w:ind w:hanging="0" w:left="0" w:right="0"/>
    </w:pPr>
    <w:rPr/>
  </w:style>
  <w:style w:type="paragraph" w:styleId="12">
    <w:name w:val="Нумерованный 1 прод."/>
    <w:basedOn w:val="List"/>
    <w:qFormat/>
    <w:pPr>
      <w:spacing w:before="0" w:after="0"/>
      <w:ind w:hanging="0" w:left="0" w:right="0"/>
    </w:pPr>
    <w:rPr/>
  </w:style>
  <w:style w:type="paragraph" w:styleId="2">
    <w:name w:val="Нумерованный 2 начало"/>
    <w:basedOn w:val="List"/>
    <w:next w:val="ListNumber2"/>
    <w:qFormat/>
    <w:pPr>
      <w:spacing w:before="0" w:after="0"/>
      <w:ind w:hanging="0" w:left="0" w:right="0"/>
    </w:pPr>
    <w:rPr/>
  </w:style>
  <w:style w:type="paragraph" w:styleId="ListNumber2">
    <w:name w:val="List Number 2"/>
    <w:basedOn w:val="List"/>
    <w:pPr>
      <w:spacing w:before="0" w:after="0"/>
      <w:ind w:hanging="0" w:left="0" w:right="0"/>
    </w:pPr>
    <w:rPr/>
  </w:style>
  <w:style w:type="paragraph" w:styleId="21">
    <w:name w:val="Нумерованный 2 конец"/>
    <w:basedOn w:val="List"/>
    <w:next w:val="ListNumber2"/>
    <w:qFormat/>
    <w:pPr>
      <w:spacing w:before="0" w:after="0"/>
      <w:ind w:hanging="0" w:left="0" w:right="0"/>
    </w:pPr>
    <w:rPr/>
  </w:style>
  <w:style w:type="paragraph" w:styleId="22">
    <w:name w:val="Нумерованный 2 прод."/>
    <w:basedOn w:val="List"/>
    <w:qFormat/>
    <w:pPr>
      <w:spacing w:before="0" w:after="0"/>
      <w:ind w:hanging="0" w:left="0" w:right="0"/>
    </w:pPr>
    <w:rPr/>
  </w:style>
  <w:style w:type="paragraph" w:styleId="3">
    <w:name w:val="Нумерованный 3 начало"/>
    <w:basedOn w:val="List"/>
    <w:next w:val="ListNumber3"/>
    <w:qFormat/>
    <w:pPr>
      <w:spacing w:before="0" w:after="0"/>
      <w:ind w:hanging="0" w:left="0" w:right="0"/>
    </w:pPr>
    <w:rPr/>
  </w:style>
  <w:style w:type="paragraph" w:styleId="ListNumber3">
    <w:name w:val="List Number 3"/>
    <w:basedOn w:val="List"/>
    <w:pPr>
      <w:spacing w:before="0" w:after="0"/>
      <w:ind w:hanging="0" w:left="0" w:right="0"/>
    </w:pPr>
    <w:rPr/>
  </w:style>
  <w:style w:type="paragraph" w:styleId="31">
    <w:name w:val="Нумерованный 3 конец"/>
    <w:basedOn w:val="List"/>
    <w:next w:val="ListNumber3"/>
    <w:qFormat/>
    <w:pPr>
      <w:spacing w:before="0" w:after="0"/>
      <w:ind w:hanging="0" w:left="0" w:right="0"/>
    </w:pPr>
    <w:rPr/>
  </w:style>
  <w:style w:type="paragraph" w:styleId="32">
    <w:name w:val="Нумерованный 3 прод."/>
    <w:basedOn w:val="List"/>
    <w:qFormat/>
    <w:pPr>
      <w:spacing w:before="0" w:after="0"/>
      <w:ind w:hanging="0" w:left="0" w:right="0"/>
    </w:pPr>
    <w:rPr/>
  </w:style>
  <w:style w:type="paragraph" w:styleId="4">
    <w:name w:val="Нумерованный 4 начало"/>
    <w:basedOn w:val="List"/>
    <w:next w:val="ListNumber4"/>
    <w:qFormat/>
    <w:pPr>
      <w:spacing w:before="0" w:after="0"/>
      <w:ind w:hanging="0" w:left="0" w:right="0"/>
    </w:pPr>
    <w:rPr/>
  </w:style>
  <w:style w:type="paragraph" w:styleId="ListNumber4">
    <w:name w:val="List Number 4"/>
    <w:basedOn w:val="List"/>
    <w:pPr>
      <w:spacing w:before="0" w:after="0"/>
      <w:ind w:hanging="0" w:left="0" w:right="0"/>
    </w:pPr>
    <w:rPr/>
  </w:style>
  <w:style w:type="paragraph" w:styleId="41">
    <w:name w:val="Нумерованный 4 конец"/>
    <w:basedOn w:val="List"/>
    <w:next w:val="ListNumber4"/>
    <w:qFormat/>
    <w:pPr>
      <w:spacing w:before="0" w:after="0"/>
      <w:ind w:hanging="0" w:left="0" w:right="0"/>
    </w:pPr>
    <w:rPr/>
  </w:style>
  <w:style w:type="paragraph" w:styleId="42">
    <w:name w:val="Нумерованный 4 прод."/>
    <w:basedOn w:val="List"/>
    <w:qFormat/>
    <w:pPr>
      <w:spacing w:before="0" w:after="0"/>
      <w:ind w:hanging="0" w:left="0" w:right="0"/>
    </w:pPr>
    <w:rPr/>
  </w:style>
  <w:style w:type="paragraph" w:styleId="5">
    <w:name w:val="Нумерованный 5 начало"/>
    <w:basedOn w:val="List"/>
    <w:next w:val="ListNumber5"/>
    <w:qFormat/>
    <w:pPr>
      <w:spacing w:before="0" w:after="0"/>
      <w:ind w:hanging="0" w:left="0" w:right="0"/>
    </w:pPr>
    <w:rPr/>
  </w:style>
  <w:style w:type="paragraph" w:styleId="ListNumber5">
    <w:name w:val="List Number 5"/>
    <w:basedOn w:val="List"/>
    <w:pPr>
      <w:spacing w:before="0" w:after="0"/>
      <w:ind w:hanging="0" w:left="0" w:right="0"/>
    </w:pPr>
    <w:rPr/>
  </w:style>
  <w:style w:type="paragraph" w:styleId="51">
    <w:name w:val="Нумерованный 5 конец"/>
    <w:basedOn w:val="List"/>
    <w:next w:val="ListNumber5"/>
    <w:qFormat/>
    <w:pPr>
      <w:spacing w:before="0" w:after="0"/>
      <w:ind w:hanging="0" w:left="0" w:right="0"/>
    </w:pPr>
    <w:rPr/>
  </w:style>
  <w:style w:type="paragraph" w:styleId="52">
    <w:name w:val="Нумерованный 5 прод."/>
    <w:basedOn w:val="List"/>
    <w:qFormat/>
    <w:pPr>
      <w:spacing w:before="0" w:after="0"/>
      <w:ind w:hanging="0" w:left="0" w:right="0"/>
    </w:pPr>
    <w:rPr/>
  </w:style>
  <w:style w:type="paragraph" w:styleId="13">
    <w:name w:val="Список 1 начало"/>
    <w:basedOn w:val="List"/>
    <w:next w:val="ListBullet"/>
    <w:qFormat/>
    <w:pPr>
      <w:spacing w:before="0" w:after="0"/>
      <w:ind w:hanging="0" w:left="0" w:right="0"/>
    </w:pPr>
    <w:rPr/>
  </w:style>
  <w:style w:type="paragraph" w:styleId="ListBullet">
    <w:name w:val="List Bullet"/>
    <w:basedOn w:val="List"/>
    <w:pPr>
      <w:numPr>
        <w:ilvl w:val="0"/>
        <w:numId w:val="2"/>
      </w:numPr>
      <w:spacing w:before="0" w:after="0"/>
    </w:pPr>
    <w:rPr/>
  </w:style>
  <w:style w:type="paragraph" w:styleId="14">
    <w:name w:val="Список 1 конец"/>
    <w:basedOn w:val="List"/>
    <w:next w:val="ListBullet"/>
    <w:qFormat/>
    <w:pPr>
      <w:spacing w:before="0" w:after="0"/>
      <w:ind w:hanging="0" w:left="0" w:right="0"/>
    </w:pPr>
    <w:rPr/>
  </w:style>
  <w:style w:type="paragraph" w:styleId="ListContinue">
    <w:name w:val="List Continue"/>
    <w:basedOn w:val="List"/>
    <w:pPr>
      <w:spacing w:before="0" w:after="0"/>
      <w:ind w:hanging="0" w:left="0" w:right="0"/>
    </w:pPr>
    <w:rPr/>
  </w:style>
  <w:style w:type="paragraph" w:styleId="23">
    <w:name w:val="Список 2 начало"/>
    <w:basedOn w:val="List"/>
    <w:next w:val="ListBullet2"/>
    <w:qFormat/>
    <w:pPr>
      <w:spacing w:before="0" w:after="0"/>
      <w:ind w:hanging="0" w:left="0" w:right="0"/>
    </w:pPr>
    <w:rPr/>
  </w:style>
  <w:style w:type="paragraph" w:styleId="ListBullet2">
    <w:name w:val="List Bullet 2"/>
    <w:basedOn w:val="List"/>
    <w:pPr>
      <w:spacing w:before="0" w:after="0"/>
      <w:ind w:hanging="0" w:left="0" w:right="0"/>
    </w:pPr>
    <w:rPr/>
  </w:style>
  <w:style w:type="paragraph" w:styleId="24">
    <w:name w:val="Список 2 конец"/>
    <w:basedOn w:val="List"/>
    <w:next w:val="ListBullet2"/>
    <w:qFormat/>
    <w:pPr>
      <w:spacing w:before="0" w:after="0"/>
      <w:ind w:hanging="0" w:left="0" w:right="0"/>
    </w:pPr>
    <w:rPr/>
  </w:style>
  <w:style w:type="paragraph" w:styleId="ListContinue2">
    <w:name w:val="List Continue 2"/>
    <w:basedOn w:val="List"/>
    <w:pPr>
      <w:spacing w:before="0" w:after="0"/>
      <w:ind w:hanging="0" w:left="0" w:right="0"/>
    </w:pPr>
    <w:rPr/>
  </w:style>
  <w:style w:type="paragraph" w:styleId="33">
    <w:name w:val="Список 3 начало"/>
    <w:basedOn w:val="List"/>
    <w:next w:val="ListBullet3"/>
    <w:qFormat/>
    <w:pPr>
      <w:spacing w:before="0" w:after="0"/>
      <w:ind w:hanging="0" w:left="0" w:right="0"/>
    </w:pPr>
    <w:rPr/>
  </w:style>
  <w:style w:type="paragraph" w:styleId="ListBullet3">
    <w:name w:val="List Bullet 3"/>
    <w:basedOn w:val="List"/>
    <w:pPr>
      <w:spacing w:before="0" w:after="0"/>
      <w:ind w:hanging="0" w:left="0" w:right="0"/>
    </w:pPr>
    <w:rPr/>
  </w:style>
  <w:style w:type="paragraph" w:styleId="34">
    <w:name w:val="Список 3 конец"/>
    <w:basedOn w:val="List"/>
    <w:next w:val="ListBullet3"/>
    <w:qFormat/>
    <w:pPr>
      <w:spacing w:before="0" w:after="0"/>
      <w:ind w:hanging="0" w:left="0" w:right="0"/>
    </w:pPr>
    <w:rPr/>
  </w:style>
  <w:style w:type="paragraph" w:styleId="ListContinue3">
    <w:name w:val="List Continue 3"/>
    <w:basedOn w:val="List"/>
    <w:pPr>
      <w:spacing w:before="0" w:after="0"/>
      <w:ind w:hanging="0" w:left="0" w:right="0"/>
    </w:pPr>
    <w:rPr/>
  </w:style>
  <w:style w:type="paragraph" w:styleId="43">
    <w:name w:val="Список 4 начало"/>
    <w:basedOn w:val="List"/>
    <w:next w:val="ListBullet4"/>
    <w:qFormat/>
    <w:pPr>
      <w:spacing w:before="0" w:after="0"/>
      <w:ind w:hanging="0" w:left="0" w:right="0"/>
    </w:pPr>
    <w:rPr/>
  </w:style>
  <w:style w:type="paragraph" w:styleId="ListBullet4">
    <w:name w:val="List Bullet 4"/>
    <w:basedOn w:val="List"/>
    <w:pPr>
      <w:spacing w:before="0" w:after="0"/>
      <w:ind w:hanging="0" w:left="0" w:right="0"/>
    </w:pPr>
    <w:rPr/>
  </w:style>
  <w:style w:type="paragraph" w:styleId="44">
    <w:name w:val="Список 4 конец"/>
    <w:basedOn w:val="List"/>
    <w:next w:val="ListBullet4"/>
    <w:qFormat/>
    <w:pPr>
      <w:spacing w:before="0" w:after="0"/>
      <w:ind w:hanging="0" w:left="0" w:right="0"/>
    </w:pPr>
    <w:rPr/>
  </w:style>
  <w:style w:type="paragraph" w:styleId="ListContinue4">
    <w:name w:val="List Continue 4"/>
    <w:basedOn w:val="List"/>
    <w:pPr>
      <w:spacing w:before="0" w:after="0"/>
      <w:ind w:hanging="0" w:left="0" w:right="0"/>
    </w:pPr>
    <w:rPr/>
  </w:style>
  <w:style w:type="paragraph" w:styleId="53">
    <w:name w:val="Список 5 начало"/>
    <w:basedOn w:val="List"/>
    <w:next w:val="ListBullet5"/>
    <w:qFormat/>
    <w:pPr>
      <w:spacing w:before="0" w:after="0"/>
      <w:ind w:hanging="0" w:left="0" w:right="0"/>
    </w:pPr>
    <w:rPr/>
  </w:style>
  <w:style w:type="paragraph" w:styleId="ListBullet5">
    <w:name w:val="List Bullet 5"/>
    <w:basedOn w:val="List"/>
    <w:pPr>
      <w:spacing w:before="0" w:after="0"/>
      <w:ind w:hanging="0" w:left="0" w:right="0"/>
    </w:pPr>
    <w:rPr/>
  </w:style>
  <w:style w:type="paragraph" w:styleId="54">
    <w:name w:val="Список 5 конец"/>
    <w:basedOn w:val="List"/>
    <w:next w:val="ListBullet5"/>
    <w:qFormat/>
    <w:pPr>
      <w:spacing w:before="0" w:after="0"/>
      <w:ind w:hanging="0" w:left="0" w:right="0"/>
    </w:pPr>
    <w:rPr/>
  </w:style>
  <w:style w:type="paragraph" w:styleId="ListContinue5">
    <w:name w:val="List Continue 5"/>
    <w:basedOn w:val="List"/>
    <w:pPr>
      <w:spacing w:before="0" w:after="0"/>
      <w:ind w:hanging="0" w:left="0" w:right="0"/>
    </w:pPr>
    <w:rPr/>
  </w:style>
  <w:style w:type="paragraph" w:styleId="IndexHeading">
    <w:name w:val="Index Heading"/>
    <w:basedOn w:val="Style23"/>
    <w:pPr>
      <w:ind w:hanging="0" w:left="0" w:right="0"/>
    </w:pPr>
    <w:rPr/>
  </w:style>
  <w:style w:type="paragraph" w:styleId="Index1">
    <w:name w:val="Index 1"/>
    <w:basedOn w:val="Style24"/>
    <w:pPr>
      <w:ind w:hanging="0" w:left="0" w:right="0"/>
    </w:pPr>
    <w:rPr/>
  </w:style>
  <w:style w:type="paragraph" w:styleId="Index2">
    <w:name w:val="Index 2"/>
    <w:basedOn w:val="Style24"/>
    <w:pPr>
      <w:ind w:hanging="0" w:left="0" w:right="0"/>
    </w:pPr>
    <w:rPr/>
  </w:style>
  <w:style w:type="paragraph" w:styleId="Index3">
    <w:name w:val="Index 3"/>
    <w:basedOn w:val="Style24"/>
    <w:pPr>
      <w:ind w:hanging="0" w:left="0" w:right="0"/>
    </w:pPr>
    <w:rPr/>
  </w:style>
  <w:style w:type="paragraph" w:styleId="Style28">
    <w:name w:val="Разделитель предметного указателя"/>
    <w:basedOn w:val="Style24"/>
    <w:qFormat/>
    <w:pPr>
      <w:ind w:hanging="0" w:left="0" w:right="0"/>
    </w:pPr>
    <w:rPr/>
  </w:style>
  <w:style w:type="paragraph" w:styleId="TOCHeading">
    <w:name w:val="TOC Heading"/>
    <w:basedOn w:val="Style23"/>
    <w:next w:val="TOC1"/>
    <w:qFormat/>
    <w:pPr>
      <w:ind w:hanging="0" w:left="0" w:right="0"/>
    </w:pPr>
    <w:rPr/>
  </w:style>
  <w:style w:type="paragraph" w:styleId="TOC1">
    <w:name w:val="TOC 1"/>
    <w:basedOn w:val="Style24"/>
    <w:pPr>
      <w:tabs>
        <w:tab w:val="clear" w:pos="709"/>
        <w:tab w:val="right" w:pos="9638" w:leader="dot"/>
      </w:tabs>
      <w:ind w:hanging="0" w:left="0" w:right="0"/>
    </w:pPr>
    <w:rPr/>
  </w:style>
  <w:style w:type="paragraph" w:styleId="TOC2">
    <w:name w:val="TOC 2"/>
    <w:basedOn w:val="Style24"/>
    <w:pPr>
      <w:tabs>
        <w:tab w:val="clear" w:pos="709"/>
        <w:tab w:val="right" w:pos="9355" w:leader="dot"/>
      </w:tabs>
      <w:ind w:hanging="0" w:left="0" w:right="0"/>
    </w:pPr>
    <w:rPr/>
  </w:style>
  <w:style w:type="paragraph" w:styleId="TOC3">
    <w:name w:val="TOC 3"/>
    <w:basedOn w:val="Style24"/>
    <w:pPr>
      <w:tabs>
        <w:tab w:val="clear" w:pos="709"/>
        <w:tab w:val="right" w:pos="9072" w:leader="dot"/>
      </w:tabs>
      <w:ind w:hanging="0" w:left="0" w:right="0"/>
    </w:pPr>
    <w:rPr/>
  </w:style>
  <w:style w:type="paragraph" w:styleId="TOC4">
    <w:name w:val="TOC 4"/>
    <w:basedOn w:val="Style24"/>
    <w:pPr>
      <w:tabs>
        <w:tab w:val="clear" w:pos="709"/>
        <w:tab w:val="right" w:pos="8789" w:leader="dot"/>
      </w:tabs>
      <w:ind w:hanging="0" w:left="0" w:right="0"/>
    </w:pPr>
    <w:rPr/>
  </w:style>
  <w:style w:type="paragraph" w:styleId="TOC5">
    <w:name w:val="TOC 5"/>
    <w:basedOn w:val="Style24"/>
    <w:pPr>
      <w:tabs>
        <w:tab w:val="clear" w:pos="709"/>
        <w:tab w:val="right" w:pos="8506" w:leader="dot"/>
      </w:tabs>
      <w:ind w:hanging="0" w:left="0" w:right="0"/>
    </w:pPr>
    <w:rPr/>
  </w:style>
  <w:style w:type="paragraph" w:styleId="Style29">
    <w:name w:val="Заголовок указателей пользователя"/>
    <w:basedOn w:val="Style23"/>
    <w:qFormat/>
    <w:pPr/>
    <w:rPr/>
  </w:style>
  <w:style w:type="paragraph" w:styleId="15">
    <w:name w:val="Указатель пользователя 1"/>
    <w:basedOn w:val="Style24"/>
    <w:qFormat/>
    <w:pPr>
      <w:tabs>
        <w:tab w:val="clear" w:pos="709"/>
        <w:tab w:val="right" w:pos="9638" w:leader="dot"/>
      </w:tabs>
      <w:ind w:hanging="0" w:left="0" w:right="0"/>
    </w:pPr>
    <w:rPr/>
  </w:style>
  <w:style w:type="paragraph" w:styleId="25">
    <w:name w:val="Указатель пользователя 2"/>
    <w:basedOn w:val="Style24"/>
    <w:qFormat/>
    <w:pPr>
      <w:tabs>
        <w:tab w:val="clear" w:pos="709"/>
        <w:tab w:val="right" w:pos="9355" w:leader="dot"/>
      </w:tabs>
      <w:ind w:hanging="0" w:left="0" w:right="0"/>
    </w:pPr>
    <w:rPr/>
  </w:style>
  <w:style w:type="paragraph" w:styleId="35">
    <w:name w:val="Указатель пользователя 3"/>
    <w:basedOn w:val="Style24"/>
    <w:qFormat/>
    <w:pPr>
      <w:tabs>
        <w:tab w:val="clear" w:pos="709"/>
        <w:tab w:val="right" w:pos="9072" w:leader="dot"/>
      </w:tabs>
      <w:ind w:hanging="0" w:left="0" w:right="0"/>
    </w:pPr>
    <w:rPr/>
  </w:style>
  <w:style w:type="paragraph" w:styleId="45">
    <w:name w:val="Указатель пользователя 4"/>
    <w:basedOn w:val="Style24"/>
    <w:qFormat/>
    <w:pPr>
      <w:tabs>
        <w:tab w:val="clear" w:pos="709"/>
        <w:tab w:val="right" w:pos="8789" w:leader="dot"/>
      </w:tabs>
      <w:ind w:hanging="0" w:left="0" w:right="0"/>
    </w:pPr>
    <w:rPr/>
  </w:style>
  <w:style w:type="paragraph" w:styleId="55">
    <w:name w:val="Указатель пользователя 5"/>
    <w:basedOn w:val="Style24"/>
    <w:qFormat/>
    <w:pPr>
      <w:tabs>
        <w:tab w:val="clear" w:pos="709"/>
        <w:tab w:val="right" w:pos="8506" w:leader="dot"/>
      </w:tabs>
      <w:ind w:hanging="0" w:left="0" w:right="0"/>
    </w:pPr>
    <w:rPr/>
  </w:style>
  <w:style w:type="paragraph" w:styleId="TOC6">
    <w:name w:val="TOC 6"/>
    <w:basedOn w:val="Style24"/>
    <w:pPr>
      <w:tabs>
        <w:tab w:val="clear" w:pos="709"/>
        <w:tab w:val="right" w:pos="8223" w:leader="dot"/>
      </w:tabs>
      <w:ind w:hanging="0" w:left="0" w:right="0"/>
    </w:pPr>
    <w:rPr/>
  </w:style>
  <w:style w:type="paragraph" w:styleId="TOC7">
    <w:name w:val="TOC 7"/>
    <w:basedOn w:val="Style24"/>
    <w:pPr>
      <w:tabs>
        <w:tab w:val="clear" w:pos="709"/>
        <w:tab w:val="right" w:pos="7940" w:leader="dot"/>
      </w:tabs>
      <w:ind w:hanging="0" w:left="0" w:right="0"/>
    </w:pPr>
    <w:rPr/>
  </w:style>
  <w:style w:type="paragraph" w:styleId="TOC8">
    <w:name w:val="TOC 8"/>
    <w:basedOn w:val="Style24"/>
    <w:pPr>
      <w:tabs>
        <w:tab w:val="clear" w:pos="709"/>
        <w:tab w:val="right" w:pos="7657" w:leader="dot"/>
      </w:tabs>
      <w:ind w:hanging="0" w:left="0" w:right="0"/>
    </w:pPr>
    <w:rPr/>
  </w:style>
  <w:style w:type="paragraph" w:styleId="TOC9">
    <w:name w:val="TOC 9"/>
    <w:basedOn w:val="Style24"/>
    <w:pPr>
      <w:tabs>
        <w:tab w:val="clear" w:pos="709"/>
        <w:tab w:val="right" w:pos="7374" w:leader="dot"/>
      </w:tabs>
      <w:ind w:hanging="0" w:left="0" w:right="0"/>
    </w:pPr>
    <w:rPr/>
  </w:style>
  <w:style w:type="paragraph" w:styleId="101">
    <w:name w:val="Оглавление 10"/>
    <w:basedOn w:val="Style24"/>
    <w:qFormat/>
    <w:pPr>
      <w:tabs>
        <w:tab w:val="clear" w:pos="709"/>
        <w:tab w:val="right" w:pos="7091" w:leader="dot"/>
      </w:tabs>
      <w:ind w:hanging="0" w:left="0" w:right="0"/>
    </w:pPr>
    <w:rPr/>
  </w:style>
  <w:style w:type="paragraph" w:styleId="IllustrationIndex1">
    <w:name w:val="Illustration Index 1"/>
    <w:basedOn w:val="Style24"/>
    <w:qFormat/>
    <w:pPr>
      <w:tabs>
        <w:tab w:val="clear" w:pos="709"/>
        <w:tab w:val="right" w:pos="9638" w:leader="dot"/>
      </w:tabs>
      <w:ind w:hanging="0" w:left="0" w:right="0"/>
    </w:pPr>
    <w:rPr/>
  </w:style>
  <w:style w:type="paragraph" w:styleId="Style30">
    <w:name w:val="Заголовок списка объектов"/>
    <w:basedOn w:val="Style23"/>
    <w:qFormat/>
    <w:pPr>
      <w:ind w:hanging="0" w:left="0" w:right="0"/>
    </w:pPr>
    <w:rPr/>
  </w:style>
  <w:style w:type="paragraph" w:styleId="16">
    <w:name w:val="Список объектов 1"/>
    <w:basedOn w:val="Style24"/>
    <w:qFormat/>
    <w:pPr>
      <w:tabs>
        <w:tab w:val="clear" w:pos="709"/>
        <w:tab w:val="right" w:pos="9638" w:leader="dot"/>
      </w:tabs>
      <w:ind w:hanging="0" w:left="0" w:right="0"/>
    </w:pPr>
    <w:rPr/>
  </w:style>
  <w:style w:type="paragraph" w:styleId="Style31">
    <w:name w:val="Заголовок списка таблиц"/>
    <w:basedOn w:val="Style23"/>
    <w:qFormat/>
    <w:pPr>
      <w:ind w:hanging="0" w:left="0" w:right="0"/>
    </w:pPr>
    <w:rPr/>
  </w:style>
  <w:style w:type="paragraph" w:styleId="17">
    <w:name w:val="Список таблиц 1"/>
    <w:basedOn w:val="Style24"/>
    <w:qFormat/>
    <w:pPr>
      <w:tabs>
        <w:tab w:val="clear" w:pos="709"/>
        <w:tab w:val="right" w:pos="9638" w:leader="dot"/>
      </w:tabs>
      <w:ind w:hanging="0" w:left="0" w:right="0"/>
    </w:pPr>
    <w:rPr/>
  </w:style>
  <w:style w:type="paragraph" w:styleId="TableofAuthorities">
    <w:name w:val="Table of Authorities"/>
    <w:basedOn w:val="Style23"/>
    <w:pPr>
      <w:ind w:hanging="0" w:left="0" w:right="0"/>
    </w:pPr>
    <w:rPr/>
  </w:style>
  <w:style w:type="paragraph" w:styleId="18">
    <w:name w:val="Библиография 1"/>
    <w:basedOn w:val="Style24"/>
    <w:qFormat/>
    <w:pPr>
      <w:tabs>
        <w:tab w:val="clear" w:pos="709"/>
        <w:tab w:val="right" w:pos="9638" w:leader="dot"/>
      </w:tabs>
      <w:ind w:hanging="0" w:left="0" w:right="0"/>
    </w:pPr>
    <w:rPr/>
  </w:style>
  <w:style w:type="paragraph" w:styleId="6">
    <w:name w:val="Указатель пользователя 6"/>
    <w:basedOn w:val="Style24"/>
    <w:qFormat/>
    <w:pPr>
      <w:tabs>
        <w:tab w:val="clear" w:pos="709"/>
        <w:tab w:val="right" w:pos="8223" w:leader="dot"/>
      </w:tabs>
      <w:ind w:hanging="0" w:left="0" w:right="0"/>
    </w:pPr>
    <w:rPr/>
  </w:style>
  <w:style w:type="paragraph" w:styleId="7">
    <w:name w:val="Указатель пользователя 7"/>
    <w:basedOn w:val="Style24"/>
    <w:qFormat/>
    <w:pPr>
      <w:tabs>
        <w:tab w:val="clear" w:pos="709"/>
        <w:tab w:val="right" w:pos="7940" w:leader="dot"/>
      </w:tabs>
      <w:ind w:hanging="0" w:left="0" w:right="0"/>
    </w:pPr>
    <w:rPr/>
  </w:style>
  <w:style w:type="paragraph" w:styleId="8">
    <w:name w:val="Указатель пользователя 8"/>
    <w:basedOn w:val="Style24"/>
    <w:qFormat/>
    <w:pPr>
      <w:tabs>
        <w:tab w:val="clear" w:pos="709"/>
        <w:tab w:val="right" w:pos="7657" w:leader="dot"/>
      </w:tabs>
      <w:ind w:hanging="0" w:left="0" w:right="0"/>
    </w:pPr>
    <w:rPr/>
  </w:style>
  <w:style w:type="paragraph" w:styleId="9">
    <w:name w:val="Указатель пользователя 9"/>
    <w:basedOn w:val="Style24"/>
    <w:qFormat/>
    <w:pPr>
      <w:tabs>
        <w:tab w:val="clear" w:pos="709"/>
        <w:tab w:val="right" w:pos="7374" w:leader="dot"/>
      </w:tabs>
      <w:ind w:hanging="0" w:left="0" w:right="0"/>
    </w:pPr>
    <w:rPr/>
  </w:style>
  <w:style w:type="paragraph" w:styleId="102">
    <w:name w:val="Указатель пользователя 10"/>
    <w:basedOn w:val="Style24"/>
    <w:qFormat/>
    <w:pPr>
      <w:tabs>
        <w:tab w:val="clear" w:pos="709"/>
        <w:tab w:val="right" w:pos="7091" w:leader="dot"/>
      </w:tabs>
      <w:ind w:hanging="0" w:left="0" w:right="0"/>
    </w:pPr>
    <w:rPr/>
  </w:style>
  <w:style w:type="paragraph" w:styleId="Style32">
    <w:name w:val="Колонтитул"/>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8" w:leader="none"/>
      </w:tabs>
      <w:jc w:val="center"/>
    </w:pPr>
    <w:rPr/>
  </w:style>
  <w:style w:type="paragraph" w:styleId="Style33">
    <w:name w:val="Верхний колонтитул слева"/>
    <w:basedOn w:val="Normal"/>
    <w:qFormat/>
    <w:pPr>
      <w:tabs>
        <w:tab w:val="clear" w:pos="709"/>
        <w:tab w:val="center" w:pos="4819" w:leader="none"/>
        <w:tab w:val="right" w:pos="9638" w:leader="none"/>
      </w:tabs>
      <w:jc w:val="left"/>
    </w:pPr>
    <w:rPr/>
  </w:style>
  <w:style w:type="paragraph" w:styleId="Style34">
    <w:name w:val="Верхний колонтитул справа"/>
    <w:basedOn w:val="Normal"/>
    <w:qFormat/>
    <w:pPr>
      <w:tabs>
        <w:tab w:val="clear" w:pos="709"/>
        <w:tab w:val="center" w:pos="4819" w:leader="none"/>
        <w:tab w:val="right" w:pos="9638" w:leader="none"/>
      </w:tabs>
      <w:jc w:val="right"/>
    </w:pPr>
    <w:rPr/>
  </w:style>
  <w:style w:type="paragraph" w:styleId="Footer">
    <w:name w:val="Footer"/>
    <w:basedOn w:val="Normal"/>
    <w:pPr>
      <w:tabs>
        <w:tab w:val="clear" w:pos="709"/>
        <w:tab w:val="center" w:pos="4819" w:leader="none"/>
        <w:tab w:val="right" w:pos="9638" w:leader="none"/>
      </w:tabs>
      <w:jc w:val="center"/>
    </w:pPr>
    <w:rPr/>
  </w:style>
  <w:style w:type="paragraph" w:styleId="Style35">
    <w:name w:val="Нижний колонтитул слева"/>
    <w:basedOn w:val="Normal"/>
    <w:qFormat/>
    <w:pPr>
      <w:tabs>
        <w:tab w:val="clear" w:pos="709"/>
        <w:tab w:val="center" w:pos="4819" w:leader="none"/>
        <w:tab w:val="right" w:pos="9638" w:leader="none"/>
      </w:tabs>
      <w:jc w:val="left"/>
    </w:pPr>
    <w:rPr/>
  </w:style>
  <w:style w:type="paragraph" w:styleId="Style36">
    <w:name w:val="Нижний колонтитул справа"/>
    <w:basedOn w:val="Normal"/>
    <w:qFormat/>
    <w:pPr>
      <w:tabs>
        <w:tab w:val="clear" w:pos="709"/>
        <w:tab w:val="center" w:pos="4819" w:leader="none"/>
        <w:tab w:val="right" w:pos="9638" w:leader="none"/>
      </w:tabs>
      <w:jc w:val="right"/>
    </w:pPr>
    <w:rPr/>
  </w:style>
  <w:style w:type="paragraph" w:styleId="Style37">
    <w:name w:val="Содержимое таблицы"/>
    <w:basedOn w:val="Normal"/>
    <w:qFormat/>
    <w:pPr/>
    <w:rPr/>
  </w:style>
  <w:style w:type="paragraph" w:styleId="Style38">
    <w:name w:val="Заголовок таблицы"/>
    <w:basedOn w:val="Style37"/>
    <w:qFormat/>
    <w:pPr>
      <w:jc w:val="center"/>
    </w:pPr>
    <w:rPr>
      <w:b/>
    </w:rPr>
  </w:style>
  <w:style w:type="paragraph" w:styleId="Style39">
    <w:name w:val="Иллюстрация"/>
    <w:basedOn w:val="Caption"/>
    <w:qFormat/>
    <w:pPr/>
    <w:rPr/>
  </w:style>
  <w:style w:type="paragraph" w:styleId="Style40">
    <w:name w:val="Таблица"/>
    <w:basedOn w:val="Caption"/>
    <w:qFormat/>
    <w:pPr/>
    <w:rPr/>
  </w:style>
  <w:style w:type="paragraph" w:styleId="Style41">
    <w:name w:val="Текст"/>
    <w:basedOn w:val="Caption"/>
    <w:qFormat/>
    <w:pPr/>
    <w:rPr/>
  </w:style>
  <w:style w:type="paragraph" w:styleId="Style42">
    <w:name w:val="Содержимое врезки"/>
    <w:basedOn w:val="Normal"/>
    <w:qFormat/>
    <w:pPr/>
    <w:rPr/>
  </w:style>
  <w:style w:type="paragraph" w:styleId="FootnoteText">
    <w:name w:val="Footnote Text"/>
    <w:basedOn w:val="Normal"/>
    <w:pPr>
      <w:ind w:hanging="0" w:left="0" w:right="0"/>
      <w:jc w:val="left"/>
    </w:pPr>
    <w:rPr>
      <w:sz w:val="28"/>
      <w:szCs w:val="24"/>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left="0" w:right="0"/>
    </w:pPr>
    <w:rPr>
      <w:sz w:val="28"/>
      <w:szCs w:val="24"/>
    </w:rPr>
  </w:style>
  <w:style w:type="paragraph" w:styleId="Style43">
    <w:name w:val="Рисунок"/>
    <w:basedOn w:val="Caption"/>
    <w:qFormat/>
    <w:pPr/>
    <w:rPr/>
  </w:style>
  <w:style w:type="paragraph" w:styleId="Style44">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45">
    <w:name w:val="Горизонтальная линия"/>
    <w:basedOn w:val="Normal"/>
    <w:next w:val="BodyText"/>
    <w:qFormat/>
    <w:pPr>
      <w:pBdr>
        <w:bottom w:val="single" w:sz="8" w:space="0" w:color="000000"/>
      </w:pBdr>
      <w:spacing w:before="0" w:after="0"/>
    </w:pPr>
    <w:rPr>
      <w:sz w:val="4"/>
      <w:szCs w:val="24"/>
    </w:rPr>
  </w:style>
  <w:style w:type="paragraph" w:styleId="Style46">
    <w:name w:val="Содержимое списка"/>
    <w:basedOn w:val="Normal"/>
    <w:qFormat/>
    <w:pPr>
      <w:ind w:hanging="0" w:left="0" w:right="0"/>
    </w:pPr>
    <w:rPr/>
  </w:style>
  <w:style w:type="paragraph" w:styleId="Style47">
    <w:name w:val="Заголовок списка"/>
    <w:basedOn w:val="Normal"/>
    <w:next w:val="Style46"/>
    <w:qFormat/>
    <w:pPr>
      <w:ind w:hanging="0" w:left="0" w:right="0"/>
    </w:pPr>
    <w:rPr/>
  </w:style>
  <w:style w:type="paragraph" w:styleId="Style48">
    <w:name w:val="Гриф_Экземпляр"/>
    <w:basedOn w:val="Normal"/>
    <w:qFormat/>
    <w:pPr>
      <w:ind w:hanging="0" w:left="0" w:right="0"/>
    </w:pPr>
    <w:rPr>
      <w:sz w:val="24"/>
    </w:rPr>
  </w:style>
  <w:style w:type="paragraph" w:styleId="Style49">
    <w:name w:val="Исполнитель документа"/>
    <w:basedOn w:val="Normal"/>
    <w:qFormat/>
    <w:pPr>
      <w:jc w:val="left"/>
    </w:pPr>
    <w:rPr>
      <w:sz w:val="24"/>
    </w:rPr>
  </w:style>
  <w:style w:type="paragraph" w:styleId="Style50">
    <w:name w:val="Заголовок списка иллюстраций"/>
    <w:basedOn w:val="Style23"/>
    <w:qFormat/>
    <w:pPr>
      <w:suppressLineNumbers/>
      <w:ind w:hanging="0" w:left="0" w:right="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1"/>
    <w:qFormat/>
  </w:style>
  <w:style w:type="numbering" w:styleId="IVX">
    <w:name w:val="Нумерованный IVX"/>
    <w:qFormat/>
  </w:style>
  <w:style w:type="numbering" w:styleId="Ivx1">
    <w:name w:val="Нумерованный ivx1"/>
    <w:qFormat/>
  </w:style>
  <w:style w:type="numbering" w:styleId="Style51">
    <w:name w:val="Маркированный •"/>
    <w:qFormat/>
  </w:style>
  <w:style w:type="numbering" w:styleId="Style52">
    <w:name w:val="Маркированный –"/>
    <w:qFormat/>
  </w:style>
  <w:style w:type="numbering" w:styleId="Style53">
    <w:name w:val="Маркированный ☑"/>
    <w:qFormat/>
  </w:style>
  <w:style w:type="numbering" w:styleId="Style54">
    <w:name w:val="Маркированный ➢"/>
    <w:qFormat/>
  </w:style>
  <w:style w:type="numbering" w:styleId="Style55">
    <w:name w:val="Маркированный ✗"/>
    <w:qFormat/>
  </w:style>
  <w:style w:type="numbering" w:styleId="19">
    <w:name w:val="Нумерованный 1)"/>
    <w:qFormat/>
  </w:style>
  <w:style w:type="numbering" w:styleId="Style56">
    <w:name w:val="Нумерованный а)"/>
    <w:qFormat/>
  </w:style>
  <w:style w:type="numbering" w:styleId="Style57">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85</TotalTime>
  <Application>LibreOffice/7.6.7.2$Linux_X86_64 LibreOffice_project/60$Build-2</Application>
  <AppVersion>15.0000</AppVersion>
  <Pages>7</Pages>
  <Words>1657</Words>
  <Characters>13072</Characters>
  <CharactersWithSpaces>14826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2025-08-08T15:23:43Z</dcterms:created>
  <dc:creator/>
  <dc:description/>
  <dc:language>ru-RU</dc:language>
  <cp:lastModifiedBy/>
  <cp:lastPrinted>2025-08-14T17:05:55Z</cp:lastPrinted>
  <dcterms:modified xsi:type="dcterms:W3CDTF">2025-08-15T15:31:43Z</dcterms:modified>
  <cp:revision>18</cp:revision>
  <dc:subject/>
  <dc:title>Default</dc:title>
</cp:coreProperties>
</file>

<file path=docProps/custom.xml><?xml version="1.0" encoding="utf-8"?>
<Properties xmlns="http://schemas.openxmlformats.org/officeDocument/2006/custom-properties" xmlns:vt="http://schemas.openxmlformats.org/officeDocument/2006/docPropsVTypes"/>
</file>