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4D" w:rsidRDefault="008C6AA6">
      <w:pPr>
        <w:shd w:val="clear" w:color="auto" w:fill="auto"/>
        <w:spacing w:line="240" w:lineRule="auto"/>
        <w:ind w:firstLine="0"/>
        <w:jc w:val="right"/>
        <w:rPr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Проект</w:t>
      </w:r>
    </w:p>
    <w:p w:rsidR="00446A4D" w:rsidRDefault="008C6AA6">
      <w:pPr>
        <w:widowControl w:val="0"/>
        <w:shd w:val="clear" w:color="auto" w:fill="auto"/>
        <w:spacing w:line="240" w:lineRule="auto"/>
        <w:ind w:right="5386" w:firstLine="0"/>
        <w:rPr>
          <w:color w:val="000000" w:themeColor="text1"/>
        </w:rPr>
      </w:pPr>
      <w:r>
        <w:rPr>
          <w:rFonts w:eastAsia="Times New Roman"/>
          <w:color w:val="000000" w:themeColor="text1"/>
        </w:rPr>
        <w:t>О внесении изменений в постановление Кабинета Министров Республики Татарстан от 31.12.2009 № 920 «О единой межведомственной системе электронного документооборота Республики Татарстан»</w:t>
      </w:r>
    </w:p>
    <w:p w:rsidR="00446A4D" w:rsidRDefault="00446A4D">
      <w:pPr>
        <w:widowControl w:val="0"/>
        <w:shd w:val="clear" w:color="auto" w:fill="auto"/>
        <w:spacing w:line="240" w:lineRule="auto"/>
        <w:ind w:right="5386" w:firstLine="0"/>
        <w:rPr>
          <w:color w:val="000000" w:themeColor="text1"/>
        </w:rPr>
      </w:pPr>
    </w:p>
    <w:p w:rsidR="00446A4D" w:rsidRDefault="00446A4D">
      <w:pPr>
        <w:widowControl w:val="0"/>
        <w:shd w:val="clear" w:color="auto" w:fill="auto"/>
        <w:spacing w:line="240" w:lineRule="auto"/>
        <w:ind w:right="5386" w:firstLine="0"/>
        <w:rPr>
          <w:color w:val="000000" w:themeColor="text1"/>
        </w:rPr>
      </w:pPr>
    </w:p>
    <w:p w:rsidR="00446A4D" w:rsidRDefault="00446A4D">
      <w:pPr>
        <w:widowControl w:val="0"/>
        <w:shd w:val="clear" w:color="auto" w:fill="auto"/>
        <w:spacing w:line="240" w:lineRule="auto"/>
        <w:ind w:right="-716" w:firstLine="0"/>
        <w:jc w:val="left"/>
        <w:rPr>
          <w:color w:val="000000" w:themeColor="text1"/>
        </w:rPr>
      </w:pPr>
    </w:p>
    <w:p w:rsidR="00446A4D" w:rsidRDefault="008C6AA6">
      <w:pPr>
        <w:pStyle w:val="aff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446A4D" w:rsidRDefault="00446A4D">
      <w:pPr>
        <w:pStyle w:val="aff"/>
        <w:ind w:right="-1" w:firstLine="709"/>
        <w:jc w:val="both"/>
        <w:rPr>
          <w:color w:val="000000" w:themeColor="text1"/>
          <w:sz w:val="28"/>
          <w:szCs w:val="28"/>
        </w:rPr>
      </w:pPr>
    </w:p>
    <w:p w:rsidR="00446A4D" w:rsidRDefault="008C6AA6">
      <w:pPr>
        <w:pStyle w:val="aff"/>
        <w:ind w:firstLine="709"/>
        <w:jc w:val="both"/>
      </w:pPr>
      <w:r>
        <w:rPr>
          <w:color w:val="000000" w:themeColor="text1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>в постановление Кабинета Министров Республики Татарстан от 31.12.2009 № 920 «О единой межведомственной системе электронного документооборота Республики Татарстан» (с изменениями, внесенными постановлениями Кабинета Министров Республики Татарстан от 17.08.2</w:t>
      </w:r>
      <w:r>
        <w:rPr>
          <w:color w:val="000000" w:themeColor="text1"/>
          <w:sz w:val="28"/>
          <w:szCs w:val="28"/>
        </w:rPr>
        <w:t>012 № 712, от 30.09.2013 № 701, от 27.08.2015 № 625, от 29.12.2018 № 1317, от 06.09.2021 № 818, от 13.12.2021 № 1214, от 18.04.2022 № 361, от 16.05.2023 № 597, от 16.09.2023 № 1146, от 09.04.2025 № 211) следующие изменения:</w:t>
      </w:r>
    </w:p>
    <w:p w:rsidR="00446A4D" w:rsidRDefault="008C6AA6">
      <w:pPr>
        <w:pStyle w:val="a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Порядке функционирования модул</w:t>
      </w:r>
      <w:r>
        <w:rPr>
          <w:color w:val="000000" w:themeColor="text1"/>
          <w:sz w:val="28"/>
          <w:szCs w:val="28"/>
        </w:rPr>
        <w:t>я «Контроль» единой межведомственной системы электронного документооборота Республики Татарстан, утвержденном указанным постановлением:</w:t>
      </w:r>
    </w:p>
    <w:p w:rsidR="00446A4D" w:rsidRDefault="008C6AA6">
      <w:pPr>
        <w:pStyle w:val="a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двадцать первый раздела I приложения №3 изложить в следующей редакции: </w:t>
      </w:r>
    </w:p>
    <w:p w:rsidR="00446A4D" w:rsidRDefault="008C6AA6">
      <w:pPr>
        <w:pStyle w:val="a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«факторы Инвестиционного рейтинга - направ</w:t>
      </w:r>
      <w:r>
        <w:rPr>
          <w:color w:val="000000" w:themeColor="text1"/>
          <w:sz w:val="28"/>
          <w:szCs w:val="28"/>
        </w:rPr>
        <w:t>ления, оценивающие условия ведения бизнеса, в рамках которых группируются показатели Инвестиционного рейтинга (1.1. «Эффективность процедур по выдаче разрешений на строительство», 1.2. «Эффективность процедур по вводу объекта в эксплуатацию», 1.3. «Эффекти</w:t>
      </w:r>
      <w:r>
        <w:rPr>
          <w:color w:val="000000" w:themeColor="text1"/>
          <w:sz w:val="28"/>
          <w:szCs w:val="28"/>
        </w:rPr>
        <w:t>вность процедур по регистрации прав собственности», 1.4. «Эффективность процедур постановки земельного участка на кадастровый учет», 1.5. «Эффективность процедур по получению в аренду земельных участков», 1.6. «Эффективность получения арендных площадей», 1</w:t>
      </w:r>
      <w:r>
        <w:rPr>
          <w:color w:val="000000" w:themeColor="text1"/>
          <w:sz w:val="28"/>
          <w:szCs w:val="28"/>
        </w:rPr>
        <w:t xml:space="preserve">.7. «Эффективность процедур по вводу объекта культурного наследия в эксплуатацию», 2.1. «Эффективность процедур по подключению электроэнергии», 2.2. «Эффективность процедур по подключению к газопроводу», 2.3. «Эффективность процедур по подключению к сетям </w:t>
      </w:r>
      <w:r>
        <w:rPr>
          <w:color w:val="000000" w:themeColor="text1"/>
          <w:sz w:val="28"/>
          <w:szCs w:val="28"/>
        </w:rPr>
        <w:t>водоснабжения и водоотведения», 2.4. «Эффективность процедур по подключению теплоснабжения», 3.1. «Инструменты правовой защиты бизнеса», 3.2. «Административное давление на бизнес», 3.3. «Силовое давление на бизнес», 3.4. «Разрешение споров», 4.1. «Нефинанс</w:t>
      </w:r>
      <w:r>
        <w:rPr>
          <w:color w:val="000000" w:themeColor="text1"/>
          <w:sz w:val="28"/>
          <w:szCs w:val="28"/>
        </w:rPr>
        <w:t xml:space="preserve">овая поддержка бизнеса», 4.2. «Финансовая поддержка бизнеса», 5.1. «Институциональная среда», 5.2. «Развитие </w:t>
      </w:r>
      <w:proofErr w:type="spellStart"/>
      <w:r>
        <w:rPr>
          <w:color w:val="000000" w:themeColor="text1"/>
          <w:sz w:val="28"/>
          <w:szCs w:val="28"/>
        </w:rPr>
        <w:t>несырьевого</w:t>
      </w:r>
      <w:proofErr w:type="spellEnd"/>
      <w:r>
        <w:rPr>
          <w:color w:val="000000" w:themeColor="text1"/>
          <w:sz w:val="28"/>
          <w:szCs w:val="28"/>
        </w:rPr>
        <w:t xml:space="preserve"> неэнергетического экспорта», 5.3. «Развитие экспортной деятельности субъектов малого и среднего предпринимательства», 6.1. «Транспортна</w:t>
      </w:r>
      <w:r>
        <w:rPr>
          <w:color w:val="000000" w:themeColor="text1"/>
          <w:sz w:val="28"/>
          <w:szCs w:val="28"/>
        </w:rPr>
        <w:t xml:space="preserve">я и цифровая инфраструктура», 6.2. «Инвестиционная инфраструктура», 6.3. «Инновационная инфраструктура», 7.1. «Качество и доступность квалифицированных кадров», 7.2. «Качество и доступность трудовых ресурсов», 8.1. «Уровень развития малого и </w:t>
      </w:r>
      <w:r>
        <w:rPr>
          <w:color w:val="000000" w:themeColor="text1"/>
          <w:sz w:val="28"/>
          <w:szCs w:val="28"/>
        </w:rPr>
        <w:lastRenderedPageBreak/>
        <w:t>среднего предп</w:t>
      </w:r>
      <w:r>
        <w:rPr>
          <w:color w:val="000000" w:themeColor="text1"/>
          <w:sz w:val="28"/>
          <w:szCs w:val="28"/>
        </w:rPr>
        <w:t>ринимательства», 8.2. «Эффективность закупочных процедур», 8.3. «Воздействие на конкуренцию»);»;</w:t>
      </w:r>
    </w:p>
    <w:p w:rsidR="00446A4D" w:rsidRDefault="008C6AA6">
      <w:pPr>
        <w:pStyle w:val="a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№2 к Регламенту функционирования направления «Инвестиционный рейтинг» модуля «Контроль» изложить в новой редакции (прилагается);</w:t>
      </w:r>
    </w:p>
    <w:p w:rsidR="00446A4D" w:rsidRDefault="008C6AA6">
      <w:pPr>
        <w:pStyle w:val="a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№2 к Рег</w:t>
      </w:r>
      <w:r>
        <w:rPr>
          <w:color w:val="000000" w:themeColor="text1"/>
          <w:sz w:val="28"/>
          <w:szCs w:val="28"/>
        </w:rPr>
        <w:t>ламенту функционирования направления «Оценка эффективности деятельности высших должностных лиц» модуля «Контроль» изложить в новой редакции (прилагается).</w:t>
      </w:r>
    </w:p>
    <w:p w:rsidR="00446A4D" w:rsidRDefault="00446A4D">
      <w:pPr>
        <w:pStyle w:val="24"/>
        <w:spacing w:after="0"/>
        <w:ind w:left="59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A4D" w:rsidRDefault="00446A4D">
      <w:pPr>
        <w:pStyle w:val="24"/>
        <w:spacing w:after="0"/>
        <w:ind w:left="59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A4D" w:rsidRDefault="008C6AA6">
      <w:pPr>
        <w:widowControl w:val="0"/>
        <w:shd w:val="clear" w:color="FFFFFF" w:themeColor="background1" w:fill="FFFFFF" w:themeFill="background1"/>
        <w:ind w:firstLine="0"/>
        <w:rPr>
          <w:color w:val="auto"/>
        </w:rPr>
      </w:pPr>
      <w:r>
        <w:rPr>
          <w:rFonts w:eastAsia="Times New Roman"/>
          <w:color w:val="auto"/>
        </w:rPr>
        <w:t>Премьер-министр</w:t>
      </w:r>
    </w:p>
    <w:p w:rsidR="00446A4D" w:rsidRDefault="008C6AA6">
      <w:pPr>
        <w:widowControl w:val="0"/>
        <w:shd w:val="clear" w:color="FFFFFF" w:themeColor="background1" w:fill="FFFFFF" w:themeFill="background1"/>
        <w:ind w:firstLine="0"/>
        <w:rPr>
          <w:color w:val="auto"/>
        </w:rPr>
      </w:pPr>
      <w:r>
        <w:rPr>
          <w:rFonts w:eastAsia="Times New Roman"/>
          <w:color w:val="auto"/>
        </w:rPr>
        <w:t xml:space="preserve">Республики Татарстан                                                               </w:t>
      </w:r>
      <w:r>
        <w:rPr>
          <w:rFonts w:eastAsia="Times New Roman"/>
          <w:color w:val="auto"/>
        </w:rPr>
        <w:t xml:space="preserve">                     </w:t>
      </w:r>
      <w:proofErr w:type="spellStart"/>
      <w:r>
        <w:rPr>
          <w:rFonts w:eastAsia="Times New Roman"/>
          <w:color w:val="auto"/>
        </w:rPr>
        <w:t>А.В.Песошин</w:t>
      </w:r>
      <w:proofErr w:type="spellEnd"/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aff"/>
        <w:shd w:val="clear" w:color="FFFFFF" w:themeColor="background1" w:fill="FFFFFF" w:themeFill="background1"/>
        <w:ind w:firstLine="709"/>
        <w:jc w:val="both"/>
        <w:rPr>
          <w:b/>
          <w:bCs/>
          <w:color w:val="000000" w:themeColor="text1"/>
        </w:rPr>
      </w:pPr>
    </w:p>
    <w:p w:rsidR="00446A4D" w:rsidRDefault="00446A4D">
      <w:pPr>
        <w:pStyle w:val="24"/>
        <w:spacing w:after="0" w:line="283" w:lineRule="atLeast"/>
        <w:ind w:left="5953" w:firstLine="709"/>
        <w:contextualSpacing/>
      </w:pPr>
    </w:p>
    <w:p w:rsidR="00446A4D" w:rsidRDefault="008C6AA6">
      <w:pPr>
        <w:pStyle w:val="24"/>
        <w:spacing w:after="0" w:line="283" w:lineRule="atLeast"/>
        <w:ind w:left="595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«Приложение № 2</w:t>
      </w:r>
    </w:p>
    <w:p w:rsidR="00446A4D" w:rsidRDefault="008C6AA6">
      <w:pPr>
        <w:pStyle w:val="24"/>
        <w:spacing w:after="0" w:line="283" w:lineRule="atLeast"/>
        <w:ind w:left="595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Регламенту функционирования</w:t>
      </w:r>
    </w:p>
    <w:p w:rsidR="00446A4D" w:rsidRDefault="008C6AA6">
      <w:pPr>
        <w:pStyle w:val="24"/>
        <w:spacing w:after="0" w:line="28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направления «Инвестиционный</w:t>
      </w:r>
    </w:p>
    <w:p w:rsidR="00446A4D" w:rsidRDefault="008C6AA6">
      <w:pPr>
        <w:pStyle w:val="24"/>
        <w:spacing w:after="0" w:line="28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рейтинг» модуля «Контроль»</w:t>
      </w:r>
    </w:p>
    <w:p w:rsidR="00446A4D" w:rsidRDefault="00446A4D">
      <w:pPr>
        <w:shd w:val="clear" w:color="FFFFFF" w:themeColor="background1" w:fill="FFFFFF" w:themeFill="background1"/>
        <w:spacing w:line="283" w:lineRule="atLeast"/>
        <w:contextualSpacing/>
        <w:jc w:val="left"/>
        <w:rPr>
          <w:rFonts w:eastAsia="Times New Roman"/>
          <w:color w:val="000000" w:themeColor="text1"/>
        </w:rPr>
      </w:pPr>
    </w:p>
    <w:p w:rsidR="00446A4D" w:rsidRDefault="00446A4D">
      <w:pPr>
        <w:shd w:val="clear" w:color="FFFFFF" w:themeColor="background1" w:fill="FFFFFF" w:themeFill="background1"/>
        <w:spacing w:line="283" w:lineRule="atLeast"/>
        <w:contextualSpacing/>
        <w:rPr>
          <w:color w:val="000000" w:themeColor="text1"/>
        </w:rPr>
      </w:pPr>
    </w:p>
    <w:p w:rsidR="00446A4D" w:rsidRDefault="008C6AA6">
      <w:pPr>
        <w:shd w:val="clear" w:color="FFFFFF" w:themeColor="background1" w:fill="FFFFFF" w:themeFill="background1"/>
        <w:spacing w:line="283" w:lineRule="atLeast"/>
        <w:contextualSpacing/>
        <w:jc w:val="center"/>
        <w:rPr>
          <w:color w:val="000000" w:themeColor="text1"/>
        </w:rPr>
      </w:pPr>
      <w:r>
        <w:rPr>
          <w:rFonts w:eastAsia="Times New Roman"/>
          <w:color w:val="000000" w:themeColor="text1"/>
        </w:rPr>
        <w:t>Ответственные за показатели национального рейтинга</w:t>
      </w:r>
    </w:p>
    <w:p w:rsidR="00446A4D" w:rsidRDefault="008C6AA6">
      <w:pPr>
        <w:shd w:val="clear" w:color="FFFFFF" w:themeColor="background1" w:fill="FFFFFF" w:themeFill="background1"/>
        <w:spacing w:line="283" w:lineRule="atLeast"/>
        <w:contextualSpacing/>
        <w:jc w:val="center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 состояния инвестиционного климата</w:t>
      </w:r>
    </w:p>
    <w:p w:rsidR="00446A4D" w:rsidRDefault="00446A4D">
      <w:pPr>
        <w:shd w:val="clear" w:color="FFFFFF" w:themeColor="background1" w:fill="FFFFFF" w:themeFill="background1"/>
        <w:spacing w:after="140"/>
        <w:contextualSpacing/>
        <w:jc w:val="center"/>
        <w:rPr>
          <w:color w:val="000000" w:themeColor="text1"/>
        </w:rPr>
      </w:pPr>
    </w:p>
    <w:tbl>
      <w:tblPr>
        <w:tblW w:w="10120" w:type="dxa"/>
        <w:tblInd w:w="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860"/>
        <w:gridCol w:w="4778"/>
        <w:gridCol w:w="2941"/>
      </w:tblGrid>
      <w:tr w:rsidR="00446A4D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Фактор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Наименование фактора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Ответственные за достижение показателя в Республике Татарстан</w:t>
            </w:r>
          </w:p>
        </w:tc>
      </w:tr>
      <w:tr w:rsidR="00446A4D">
        <w:trPr>
          <w:trHeight w:val="340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 Недвижимость</w:t>
            </w: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Эффективность процедур по выдаче разрешений на строительство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1.1.1 Среднее время получения разрешений на строительство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Министерство строительства, архитектуры 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жилищно-коммунального хозяйства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1.1.2 Среднее количество процедур, необходимых для получения разрешения на строительство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1.1.3 Оценка деятельности органов власти по выдаче разрешения на строительство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Эффективность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процедур по вводу объекта в эксплуатацию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1.2.1 Среднее время получения разрешений на ввод объекта в эксплуатацию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 xml:space="preserve">Органы местного самоуправления   муниципальных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районов и городских округов Республики Татарстан 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1.2.2 Среднее количество процедур для получения разрешения на ввод объекта в эксплуатацию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1.2.3 Оценка эффективности процедур по вводу объекта в эксплуатацию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Эффективность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процедур по регистрации прав собственности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1.3.1 Среднее время регистрации прав собственности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Татарстан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1.3.2 Среднее количество процедур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при регистрации прав собственности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1.3.3 Оценка деятельности органов власти по регистрации прав на недвижимое имущество и сделок с ним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Эффективность процедур постановки земельного участка на кадастровый учет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1.4.1 Среднее время постановки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земельного участка на кадастровый учет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Управление Федеральной службы государственной регистрации, кадастра и картографии по Республике Татарстан (по согласованию);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Органы местного самоу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правления  муниципальных районов 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городских округов Республики Татарстан 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1.4.2  Среднее количество процедур, необходимых для постановки земельного участка на кадастровый учет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1.4.3 Оценка деятельности органов власти по постановке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земельного участка на кадастровый учет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Эффективность процедур по получению в аренду земельных участков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1.5.1 Среднее время получения в аренду земельных участков (без проведения торгов)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Агентство инвестиционного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развития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1.5.2 Среднее количество процедур для получения в аренду земельных участков (без проведения торгов)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1.5.3 Оценка эффективности процедур по получению в аренду земельных участков (без проведения торгов)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1.5.4 Среднее время получения в аренду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земельных участков (с проведением торгов)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Татарстан;</w:t>
            </w:r>
          </w:p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Органы местного самоуправления   муниципальных районов и городских округов Республики  Татарстан 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1.5.5 Среднее количество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процедур для получения в аренду земельных участков (с проведением торгов)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1.5.6 Оценка эффективности процедур по получению в аренду земельных участков (с проведением торгов)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Эффективность получения арендных площадей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1.6.1 Оценка необходимой для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ведения бизнеса недвижимости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Органы местного самоуправления   муниципальных районов и городских округов Республики Татарстан  (по согласованию);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Министерство экономики Республики Татар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1.6.2 Оценка процедур получения арендных площадей, предоставляемых регионом субъектам малого и среднего предпринимательства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Эффективность процедур по вводу объекта культурного наследия в эксплуатацию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1.7.1 Среднее время получения разрешения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на ввод в эксплуатацию объектов культурного наследия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Комитет Республики Татарстан по охране объектов культурного наследия;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Инспекция государственного строительного надзора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Органы местного самоуправления   муниципальных районов и город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ских округов Республики Татарстан  (по согласованию)</w:t>
            </w:r>
          </w:p>
          <w:p w:rsidR="00446A4D" w:rsidRDefault="00446A4D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1.7.2. Среднее количество процедур, необходимых для получения разрешения на ввод в эксплуатацию объектов культурного наследия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1.7.3 Оценка эффективности процедур, необходимых для получения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разрешения на ввод в эксплуатацию объектов культурного наследия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1.7.4 Стоимость процедур, необходимых для получения разрешения на ввод в эксплуатацию объектов культурного наследия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 Инженерные сети и коммуникации</w:t>
            </w: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Эффективность процедур по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подключению электроэнергии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2.1.1 Среднее время подключения к электросетям</w:t>
            </w:r>
          </w:p>
          <w:p w:rsidR="00446A4D" w:rsidRDefault="00446A4D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промышленности и торговли Республики Татарстан;</w:t>
            </w:r>
          </w:p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Государственный комитет Республики Татарстан по тарифам;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Акционерное общество «Сетевая компания»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2.1.2 Среднее количество процедур при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подключении к электросетям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2.1.3 Оценка эффективности подключения к электросетям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Эффективность процедур по подключению к газопроводу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2.2.1 Среднее время подключения к газопроводу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промышленности и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торговли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Государственный комитет Республики Татарстан по тарифам;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 xml:space="preserve">Общество с ограниченной ответственностью «Газпром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трансгаз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Казань»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2.2.2 Среднее количество процедур, необходимых для подключения к газопроводу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2.2.3 Оценка эффективности подключения к газопроводу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Эффективность процедур по подключению к сетям водоснабжения и водоотведения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2.3.1 Среднее время подключения к сетям водоснабжения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Министерство строительства, архитектуры и жилищно-коммунального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хозяйства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Государственный комитет Республики Татарстан по тарифам;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Муниципальное унитарное предприятие города Казани «Водоканал» (по согласованию);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Организации, оказывающие услуги по водоснабжению и водоотведению (по согласованию);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Ор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ганы местного самоуправления   муниципальных  районов и городских округов Республики Татарстан 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2.3.2 Среднее количество процедур, необходимых для подключения к сетям водоснабжения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2.3.3 Оценка эффективности подключения к сетям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водоснабжения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2.3.5 Среднее время подключения к сетям водоотведения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2.3.6 Среднее количество процедур, необходимых для подключения к сетям водоотведения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2.3.7 Оценка эффективности подключения к сетям водоотведения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Эффективность процедур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по подключению</w:t>
            </w:r>
          </w:p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теплоснабжения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pStyle w:val="aff1"/>
              <w:shd w:val="clear" w:color="FFFFFF" w:themeColor="background1" w:fill="FFFFFF" w:themeFill="background1"/>
              <w:spacing w:line="240" w:lineRule="auto"/>
              <w:ind w:firstLine="0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2.4.1 Среднее время подключения к сетям теплоснабжения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pStyle w:val="2"/>
              <w:widowControl w:val="0"/>
              <w:shd w:val="clear" w:color="FFFFFF" w:themeColor="background1" w:fill="FFFFFF" w:themeFill="background1"/>
              <w:spacing w:before="0" w:after="0" w:line="240" w:lineRule="auto"/>
              <w:ind w:firstLine="0"/>
            </w:pPr>
            <w:bookmarkStart w:id="0" w:name="orgHeaderTitle_Копия_1_Копия_3"/>
            <w:bookmarkEnd w:id="0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Министерство строительства, архитектуры и жилищно-коммунального хозяйства Республики Татарстан;</w:t>
            </w:r>
          </w:p>
          <w:p w:rsidR="00446A4D" w:rsidRDefault="008C6AA6">
            <w:pPr>
              <w:pStyle w:val="af8"/>
              <w:widowControl w:val="0"/>
              <w:shd w:val="clear" w:color="FFFFFF" w:themeColor="background1" w:fill="FFFFFF" w:themeFill="background1"/>
              <w:spacing w:after="0" w:line="240" w:lineRule="auto"/>
              <w:ind w:firstLine="0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Акционерное общество «Татэнерго» (по согласованию);</w:t>
            </w:r>
          </w:p>
          <w:p w:rsidR="00446A4D" w:rsidRDefault="008C6AA6">
            <w:pPr>
              <w:pStyle w:val="af8"/>
              <w:widowControl w:val="0"/>
              <w:shd w:val="clear" w:color="FFFFFF" w:themeColor="background1" w:fill="FFFFFF" w:themeFill="background1"/>
              <w:spacing w:after="0" w:line="240" w:lineRule="auto"/>
              <w:ind w:firstLine="0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Организации,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оказывающие услуги по передаче тепловой энергии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pStyle w:val="aff1"/>
              <w:shd w:val="clear" w:color="FFFFFF" w:themeColor="background1" w:fill="FFFFFF" w:themeFill="background1"/>
              <w:spacing w:line="240" w:lineRule="auto"/>
              <w:ind w:firstLine="0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2.4.2 Среднее количество процедур, необходимых для подключения к сетям теплоснабжения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pStyle w:val="aff1"/>
              <w:shd w:val="clear" w:color="FFFFFF" w:themeColor="background1" w:fill="FFFFFF" w:themeFill="background1"/>
              <w:spacing w:line="240" w:lineRule="auto"/>
              <w:ind w:firstLine="0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2.4.3 Оценка эффективности   подключения к сетям теплоснабжения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 Защита бизнеса</w:t>
            </w:r>
          </w:p>
        </w:tc>
      </w:tr>
      <w:tr w:rsidR="00446A4D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Инструменты правовой защиты бизнеса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3.1.1 Оценка соблюдения положений региональной Инвестиционной декларации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Административное давление на бизнес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3.2.1 Среднее количество контрольно-надзорных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мероприятий (проверок, административных расследований, допросов, опросов и других юридически значимых мер), проведенных в отношении одного юридического лица, индивидуального предпринимателя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экономики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Уполномоченный при Гл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аве (Раисе) Республики Татарстан по защите прав предпринимателей – помощник Раиса Республики Татарстан (по согласованию);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Управление Федеральной антимонопольной службы по Республике Татарстан (по согласованию)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3.2.2 Доля компаний, столкнувшихся со случ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аями коррупции со стороны органов власти или естественных монополий в течение последних 12 месяцев, от общего числа опрошенных при взаимодействии с: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правоохранительными органами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иными контрольно-надзорными органами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судебной власти;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органами законодательной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власти;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естественными монополиями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3.2.3 Оценка удобства и понятности прохождения контрольно-надзорных мероприятий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Силовое давление на бизнес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3.3.1  Оценка обеспечения безопасности ведения бизнеса в части правоохранительной системы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Уполномоченный при Главе (Раисе) Республики Татарстан по защите прав предпринимателей – помощник Раиса Республики Татарстан (по согласованию);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Министерство экономики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3.3.2 Доля предпринимателей, сталкивавшихся с необоснованным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силовым давлением со стороны правоохранительных органов (от общего числа опрошенных)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17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Разрешение споров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3.4.1 Оценка эффективности работы Инвестиционного комитета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3.4.2 Оценка каналов прямой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связи инвестора с руководством субъекта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4. Меры поддержки бизнеса</w:t>
            </w: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Нефинансовая поддержка бизнеса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4.1.1 Оценка эффективности работы специализированной организации (Агентства развития) по привлечению инвестиций и работе с инвесторами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Агентство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инвестиционного развития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4.1.2 Оценка удовлетворенности получением консультационных и образовательных услуг, оказываемых организациями инфраструктуры поддержки малого и среднего предпринимательства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Министерство экономики Республики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4.1.3 Оценка качества реализации Инвестиционной карты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4.1.4  Оценка цифровых сервисов для инвесторов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4.1.5  Оценка цифровых сервисов для малого и среднего предпринимательства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экономики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Финансовая поддержка бизнеса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4.2.3 Оценка мер государственной финансовой поддержки (налоговые льготы, гарантии, субсидии)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экономики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4.2.4 Оценка доступности кредитных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ресурсов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5. Экспортная деятельность</w:t>
            </w:r>
          </w:p>
        </w:tc>
      </w:tr>
      <w:tr w:rsidR="00446A4D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Институциональная среда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5.1.1 Оценка эффективности институтов поддержки экспорта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промышленности и торговли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 xml:space="preserve">Министерство сельского хозяйства и продовольствия Республики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Министерство экономики Республики Татарстан</w:t>
            </w:r>
          </w:p>
        </w:tc>
      </w:tr>
      <w:tr w:rsidR="00446A4D">
        <w:trPr>
          <w:trHeight w:val="340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 Инфраструктура, технологии и связь</w:t>
            </w: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Транспортная и цифровая инфраструктура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6.1.2  Оценка качества дорожных сетей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транспорта и дорожного хозяйства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 xml:space="preserve">Органы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местного самоуправления   муниципальных районов и городских округов Республики Татарстан 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6.1.3 Оценка качества телекоммуникационных услуг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Министерство цифрового развития государственного управления, информационных технологий и связи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Инвестиционная инфраструктура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6.2.1 Оценка объектов инвестиционной инфраструктуры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экономики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Министерство промышленности и торговли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 xml:space="preserve">Министерство цифрового развития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государственного управления, информационных технологий и связи Республики Татарстан</w:t>
            </w:r>
          </w:p>
        </w:tc>
      </w:tr>
      <w:tr w:rsidR="00446A4D">
        <w:trPr>
          <w:trHeight w:val="340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 Кадровые и трудовые ресурсы</w:t>
            </w: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Качество и доступность квалифицированных кадров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7.1.2 Оценка доступности трудовых ресурсов необходимой квалификации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Министерство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труда, занятости и социальной защиты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7.1.3 Оценка эффективности подготовки новых кадров для бизнеса (доля закрытых при поддержке региона вакансий от запрошенного бизнесом необходимого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количества новых кадров в разрезе крупного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бизнеса и малого и среднего предпринимательства)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7.1.4  Оценка уровня подготовки выпускников среднего профессионального образования (в разрезе крупного бизнеса и малого и среднего предпринимательства)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Министерство образования и науки Республики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7.1.5  Среднее время поиска сотрудников необходимой квалификации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труда, занятости и социальной защиты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Министерство образования и науки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7.1.6 Средняя стоимость поиска сотрудников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необходимой квалификации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Качество и доступность трудовых ресурсов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7.2.1 Оценка доступности трудовых ресурсов (без квалификационных требований)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7.2.2 Оценка эффективности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работы региональных служб занятости населения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7.2.3 Среднее время поиска трудовых ресурсов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after="20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7.2.4 Средняя стоимость поиска трудовых ресурсов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6A4D">
        <w:trPr>
          <w:trHeight w:val="340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8. Развитие рынка и конкуренции</w:t>
            </w:r>
          </w:p>
        </w:tc>
      </w:tr>
      <w:tr w:rsidR="00446A4D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Эффективность закупочных процедур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8.2.2 Оценка проведения закупочных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процедур, проводимых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Государственный комитет Республики Татарстан по закупкам;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Ми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нистерство экономики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Акционерное общество «Агентство по государственному заказу Республики Татарстан» (по согласованию)</w:t>
            </w:r>
          </w:p>
        </w:tc>
      </w:tr>
      <w:tr w:rsidR="00446A4D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446A4D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46A4D" w:rsidRDefault="008C6AA6">
            <w:pPr>
              <w:widowControl w:val="0"/>
              <w:shd w:val="clear" w:color="FFFFFF" w:themeColor="background1" w:fill="FFFFFF" w:themeFill="background1"/>
              <w:spacing w:after="200"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Воздействие на конкуренцию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8.3.1 Доля компаний, столкнувшихся со случаями влияния на конкурентную среду со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стороны органов власти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4D" w:rsidRDefault="008C6AA6">
            <w:pPr>
              <w:widowControl w:val="0"/>
              <w:shd w:val="clear" w:color="FFFFFF" w:themeColor="background1" w:fill="FFFFFF" w:themeFill="background1"/>
              <w:spacing w:line="240" w:lineRule="auto"/>
              <w:ind w:firstLine="0"/>
              <w:contextualSpacing/>
              <w:jc w:val="left"/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Министерство экономики Республики Татарстан;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Управление Федеральной антимонопольной службы по Республике Татарстан (по согласованию)»;</w:t>
            </w:r>
          </w:p>
        </w:tc>
      </w:tr>
    </w:tbl>
    <w:p w:rsidR="00446A4D" w:rsidRDefault="008C6AA6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</w:p>
    <w:p w:rsidR="00446A4D" w:rsidRDefault="00446A4D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</w:p>
    <w:p w:rsidR="00446A4D" w:rsidRDefault="00446A4D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</w:p>
    <w:p w:rsidR="00446A4D" w:rsidRDefault="00446A4D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</w:p>
    <w:p w:rsidR="00446A4D" w:rsidRDefault="00446A4D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</w:p>
    <w:p w:rsidR="00446A4D" w:rsidRDefault="00446A4D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</w:p>
    <w:p w:rsidR="008C6AA6" w:rsidRDefault="008C6AA6">
      <w:pPr>
        <w:pStyle w:val="aff"/>
        <w:ind w:left="6236" w:hanging="57"/>
        <w:rPr>
          <w:color w:val="000000" w:themeColor="text1"/>
          <w:sz w:val="28"/>
          <w:szCs w:val="28"/>
        </w:rPr>
      </w:pPr>
    </w:p>
    <w:p w:rsidR="008C6AA6" w:rsidRDefault="008C6AA6">
      <w:pPr>
        <w:pStyle w:val="aff"/>
        <w:ind w:left="6236" w:hanging="57"/>
        <w:rPr>
          <w:color w:val="000000" w:themeColor="text1"/>
          <w:sz w:val="28"/>
          <w:szCs w:val="28"/>
        </w:rPr>
      </w:pPr>
    </w:p>
    <w:p w:rsidR="008C6AA6" w:rsidRDefault="008C6AA6">
      <w:pPr>
        <w:pStyle w:val="aff"/>
        <w:ind w:left="6236" w:hanging="57"/>
        <w:rPr>
          <w:color w:val="000000" w:themeColor="text1"/>
          <w:sz w:val="28"/>
          <w:szCs w:val="28"/>
        </w:rPr>
      </w:pPr>
    </w:p>
    <w:p w:rsidR="008C6AA6" w:rsidRDefault="008C6AA6">
      <w:pPr>
        <w:pStyle w:val="aff"/>
        <w:ind w:left="6236" w:hanging="57"/>
        <w:rPr>
          <w:color w:val="000000" w:themeColor="text1"/>
          <w:sz w:val="28"/>
          <w:szCs w:val="28"/>
        </w:rPr>
      </w:pPr>
    </w:p>
    <w:p w:rsidR="008C6AA6" w:rsidRDefault="008C6AA6">
      <w:pPr>
        <w:pStyle w:val="aff"/>
        <w:ind w:left="6236" w:hanging="57"/>
        <w:rPr>
          <w:color w:val="000000" w:themeColor="text1"/>
          <w:sz w:val="28"/>
          <w:szCs w:val="28"/>
        </w:rPr>
      </w:pPr>
    </w:p>
    <w:p w:rsidR="00446A4D" w:rsidRDefault="008C6AA6">
      <w:pPr>
        <w:pStyle w:val="aff"/>
        <w:ind w:left="6236" w:hanging="57"/>
      </w:pPr>
      <w:bookmarkStart w:id="1" w:name="_GoBack"/>
      <w:bookmarkEnd w:id="1"/>
      <w:r>
        <w:rPr>
          <w:color w:val="000000" w:themeColor="text1"/>
          <w:sz w:val="28"/>
          <w:szCs w:val="28"/>
        </w:rPr>
        <w:lastRenderedPageBreak/>
        <w:t>«Приложение № 2</w:t>
      </w:r>
    </w:p>
    <w:p w:rsidR="00446A4D" w:rsidRDefault="008C6AA6">
      <w:pPr>
        <w:pStyle w:val="aff"/>
        <w:ind w:left="6236" w:hanging="57"/>
      </w:pPr>
      <w:r>
        <w:rPr>
          <w:color w:val="000000" w:themeColor="text1"/>
          <w:sz w:val="28"/>
          <w:szCs w:val="28"/>
        </w:rPr>
        <w:t>к Регламенту функционирования</w:t>
      </w:r>
    </w:p>
    <w:p w:rsidR="00446A4D" w:rsidRDefault="008C6AA6">
      <w:pPr>
        <w:pStyle w:val="aff"/>
        <w:ind w:left="6236" w:hanging="57"/>
      </w:pPr>
      <w:r>
        <w:rPr>
          <w:color w:val="000000" w:themeColor="text1"/>
          <w:sz w:val="28"/>
          <w:szCs w:val="28"/>
        </w:rPr>
        <w:t>направления</w:t>
      </w:r>
      <w:r>
        <w:rPr>
          <w:color w:val="000000" w:themeColor="text1"/>
          <w:sz w:val="28"/>
          <w:szCs w:val="28"/>
        </w:rPr>
        <w:t xml:space="preserve"> «Оценка</w:t>
      </w:r>
    </w:p>
    <w:p w:rsidR="00446A4D" w:rsidRDefault="008C6AA6">
      <w:pPr>
        <w:pStyle w:val="aff"/>
        <w:ind w:left="6236" w:hanging="57"/>
      </w:pPr>
      <w:r>
        <w:rPr>
          <w:color w:val="000000" w:themeColor="text1"/>
          <w:sz w:val="28"/>
          <w:szCs w:val="28"/>
        </w:rPr>
        <w:t>эффективности деятельности</w:t>
      </w:r>
    </w:p>
    <w:p w:rsidR="00446A4D" w:rsidRDefault="008C6AA6">
      <w:pPr>
        <w:pStyle w:val="aff"/>
        <w:ind w:left="6236" w:hanging="57"/>
      </w:pPr>
      <w:r>
        <w:rPr>
          <w:color w:val="000000" w:themeColor="text1"/>
          <w:sz w:val="28"/>
          <w:szCs w:val="28"/>
        </w:rPr>
        <w:t>высших должностных лиц»</w:t>
      </w:r>
    </w:p>
    <w:p w:rsidR="00446A4D" w:rsidRDefault="008C6AA6">
      <w:pPr>
        <w:pStyle w:val="aff"/>
        <w:ind w:left="6236" w:hanging="57"/>
      </w:pPr>
      <w:r>
        <w:rPr>
          <w:color w:val="000000" w:themeColor="text1"/>
          <w:sz w:val="28"/>
          <w:szCs w:val="28"/>
        </w:rPr>
        <w:t>модуля «Контроль»</w:t>
      </w:r>
    </w:p>
    <w:p w:rsidR="00446A4D" w:rsidRDefault="00446A4D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</w:p>
    <w:p w:rsidR="00446A4D" w:rsidRDefault="00446A4D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</w:p>
    <w:p w:rsidR="00446A4D" w:rsidRDefault="008C6AA6">
      <w:pPr>
        <w:pStyle w:val="aff"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Ответственные исполнители, информационные системы, из которых автоматически будут подгружаться данные по показателям</w:t>
      </w:r>
    </w:p>
    <w:p w:rsidR="00446A4D" w:rsidRDefault="00446A4D">
      <w:pPr>
        <w:pStyle w:val="aff"/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973"/>
        <w:gridCol w:w="1467"/>
        <w:gridCol w:w="1470"/>
        <w:gridCol w:w="1876"/>
        <w:gridCol w:w="1699"/>
      </w:tblGrid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№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Наименования показателей, по которым будет вестись мониторинг 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Показатель на уровне Республики Татарстан (ежеквартально)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Показатель в разрезе муниципальных образований Республики Татарстан (ежеквартально)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целевое значение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фактическое значение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целевое </w:t>
            </w:r>
            <w:r>
              <w:rPr>
                <w:rFonts w:eastAsia="Times New Roman"/>
                <w:color w:val="000000" w:themeColor="text1"/>
                <w:highlight w:val="white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фактическое значение</w:t>
            </w:r>
          </w:p>
        </w:tc>
      </w:tr>
      <w:tr w:rsidR="00446A4D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6</w:t>
            </w:r>
          </w:p>
        </w:tc>
      </w:tr>
      <w:tr w:rsidR="00446A4D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Численность населения субъекта Российской Федерации, человек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Минтруд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Минтруд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</w:t>
            </w:r>
          </w:p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«Отчеты ведомств»</w:t>
            </w:r>
          </w:p>
        </w:tc>
      </w:tr>
      <w:tr w:rsidR="00446A4D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  <w:shd w:val="clear" w:color="auto" w:fill="FFBF00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Суммарный коэффициент рождаемости, единиц (годовой)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Минтруд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ЕГСО «Отчеты </w:t>
            </w:r>
            <w:r>
              <w:rPr>
                <w:rFonts w:eastAsia="Times New Roman"/>
                <w:color w:val="000000" w:themeColor="text1"/>
                <w:highlight w:val="white"/>
              </w:rPr>
              <w:t>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Ожидаемая продолжительность жизни при рождении, лет (годовой)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Смертность населения на 1 000 человек населения, человек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</w:t>
            </w:r>
          </w:p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«Отчеты ведомств»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  <w:p w:rsidR="00446A4D" w:rsidRDefault="00446A4D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Уровень бедности, процентов (годовой)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Минтруд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Отношение среднедушевых денежных доходов населения к величине прожиточного минимума,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Уровень образования, процентов </w:t>
            </w:r>
            <w:r>
              <w:rPr>
                <w:rFonts w:eastAsia="Times New Roman"/>
                <w:color w:val="000000" w:themeColor="text1"/>
                <w:highlight w:val="white"/>
              </w:rPr>
              <w:t>(годовой)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Доступность дошкольного образования для детей в возрастной группе от 2 месяцев до 8 лет,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РТ, 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населения в возрасте 15 - 21 года, </w:t>
            </w:r>
            <w:r>
              <w:rPr>
                <w:rFonts w:eastAsia="Times New Roman"/>
                <w:color w:val="000000" w:themeColor="text1"/>
                <w:highlight w:val="white"/>
              </w:rPr>
              <w:t>охваченного образованием,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Численность обучающихся в возрасте 15 - 21 года в общеобразовательных организациях, человек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РТ, 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Численность обучающихся в возрасте 15 - 21 года в </w:t>
            </w:r>
            <w:r>
              <w:rPr>
                <w:rFonts w:eastAsia="Times New Roman"/>
                <w:color w:val="000000" w:themeColor="text1"/>
                <w:highlight w:val="white"/>
              </w:rPr>
              <w:t>профессиональных образовательных организациях, человек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РТ, 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Численность обучающихся в возрасте 15 - 21 года в образовательных организациях высшего образования, человек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РТ, ОМСУ (по согласова</w:t>
            </w:r>
            <w:r>
              <w:rPr>
                <w:rFonts w:eastAsia="Times New Roman"/>
                <w:color w:val="000000" w:themeColor="text1"/>
                <w:highlight w:val="white"/>
              </w:rPr>
              <w:t>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рабочей силы, имеющей профессиональное образование, в возрасте 22 лет и старше,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граждан, прошедших обучение по дополнительным профессиональным программам и программам профессионального </w:t>
            </w:r>
            <w:r>
              <w:rPr>
                <w:rFonts w:eastAsia="Times New Roman"/>
                <w:color w:val="000000" w:themeColor="text1"/>
                <w:highlight w:val="white"/>
              </w:rPr>
              <w:t>обучения (по отрасли «Образование»), в общей численности рабочей силы,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Численность граждан, прошедших обучение по дополнительным профессиональным программам (по отрасли «Образование»), человек (нарастающим итогом)</w:t>
            </w:r>
          </w:p>
          <w:p w:rsidR="00446A4D" w:rsidRDefault="00446A4D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РТ, 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Доступность дошкольных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образовательных организаций и общеобразовательных организаций для инвалидов (детей-инвалидов),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РТ,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Обеспеченность </w:t>
            </w:r>
            <w:r>
              <w:rPr>
                <w:rFonts w:eastAsia="Times New Roman"/>
                <w:color w:val="000000" w:themeColor="text1"/>
                <w:highlight w:val="white"/>
              </w:rPr>
              <w:t>дошкольных образовательных организаций и общеобразовательных организаций охраной,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РТ, 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Проведение капитального ремонта зданий дошкольных образовательных организаций и </w:t>
            </w:r>
            <w:r>
              <w:rPr>
                <w:rFonts w:eastAsia="Times New Roman"/>
                <w:color w:val="000000" w:themeColor="text1"/>
                <w:highlight w:val="white"/>
              </w:rPr>
              <w:t>общеобразовательных организаций,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РТ, ОМСУ (по согласованию)</w:t>
            </w:r>
            <w:bookmarkStart w:id="2" w:name="undefined"/>
            <w:bookmarkEnd w:id="2"/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Эффективность системы выявления, поддержки и развития способностей и талантов у детей и молодежи,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детей в возрасте от 5 до 18 лет, охваченных услугами дополнительного образования,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Численность детей в возрасте от 5 до 17 лет включительно, охваченных услугами дополнительного образования, а также </w:t>
            </w:r>
            <w:r>
              <w:rPr>
                <w:rFonts w:eastAsia="Times New Roman"/>
                <w:color w:val="000000" w:themeColor="text1"/>
                <w:highlight w:val="white"/>
              </w:rPr>
              <w:t>обучающихся по программам спортивной подготовки указанной возрастной категории, человек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РТ, 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детей и молодежи в возрасте от 7 до 35 лет, у которых выявлены выдающиеся способности и таланты, процентов</w:t>
            </w:r>
          </w:p>
          <w:p w:rsidR="00446A4D" w:rsidRDefault="00446A4D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</w:t>
            </w:r>
            <w:r>
              <w:rPr>
                <w:rFonts w:eastAsia="Times New Roman"/>
                <w:color w:val="000000" w:themeColor="text1"/>
                <w:highlight w:val="white"/>
              </w:rPr>
              <w:t>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Численность детей и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 xml:space="preserve">молодежи в возрасте от 7 до 35 лет включительно, ставших победителями или призерами олимпиад и иных конкурсных мероприятий, включенных в перечни, утвержденные Министерством просвещения Российской Федерации, и (или) </w:t>
            </w:r>
            <w:r>
              <w:rPr>
                <w:rFonts w:eastAsia="Times New Roman"/>
                <w:color w:val="000000" w:themeColor="text1"/>
                <w:highlight w:val="white"/>
              </w:rPr>
              <w:t>имеющих зарегистрированные результаты интеллектуальной деятельности и (или) являющиеся авторами статей в научном международном или всероссийском издании, в том числе издании, индексируемом в международных базах данных, человек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РТ,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ОМСУ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7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Количество семей, улучшивших жилищные условия, тыс.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РТ, 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Количество семей, купивших жилое помещение по договорам купли-продажи или </w:t>
            </w:r>
            <w:r>
              <w:rPr>
                <w:rFonts w:eastAsia="Times New Roman"/>
                <w:color w:val="000000" w:themeColor="text1"/>
                <w:highlight w:val="white"/>
              </w:rPr>
              <w:t>зарегистрировавших право собственности на основании договора участия в долевом строительстве, тыс.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Количество семей, построивших индивидуальный жилой дом за счет собственных и привлеченных средств, тыс.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Количество семей, получивших жилое помещение по договорам социального найма, с учетом семей детей-сирот и детей, оставшихся без попечения родителей, тыс.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Количество зарегистрированных договоров аренды </w:t>
            </w:r>
            <w:r>
              <w:rPr>
                <w:rFonts w:eastAsia="Times New Roman"/>
                <w:color w:val="000000" w:themeColor="text1"/>
                <w:highlight w:val="white"/>
              </w:rPr>
              <w:t>и найма жилых помещений, тыс.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Количество семей, переселенных из аварийного жилищного фонда в рамках реализации региональных адресных программ, тыс.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Количество семей, улучшивших </w:t>
            </w:r>
            <w:r>
              <w:rPr>
                <w:rFonts w:eastAsia="Times New Roman"/>
                <w:color w:val="000000" w:themeColor="text1"/>
                <w:highlight w:val="white"/>
              </w:rPr>
              <w:t>жилищные условия за счет проведения капитального ремонта общего имущества в многоквартирных домах, тыс.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Количество семей, улучшивших жилищные условия за счет регистрации прав собственности на основании справки о полной в</w:t>
            </w:r>
            <w:r>
              <w:rPr>
                <w:rFonts w:eastAsia="Times New Roman"/>
                <w:color w:val="000000" w:themeColor="text1"/>
                <w:highlight w:val="white"/>
              </w:rPr>
              <w:t>ыплате паевого взноса членом жилищного, жилищно-строительного, иного кооператива, тыс.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Количество семей, улучшивших жилищные условия в рамках государственных, региональных и муниципальных программ, тыс.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Объем ввода в эксплуатацию жилой и нежилой недвижимости, 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тыс.кв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>. метров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Объем ввода в эксплуатацию жилой недвижимости, 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тыс.кв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>. метров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Объем ввода в 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эксплуатацию нежилой недвижимости, 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тыс.кв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>. метров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  <w:r>
              <w:rPr>
                <w:rFonts w:eastAsia="Times New Roman"/>
                <w:color w:val="000000" w:themeColor="text1"/>
                <w:highlight w:val="white"/>
              </w:rPr>
              <w:t>.</w:t>
            </w: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contextualSpacing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Качество среды для жизни в опорных населенных пунктах,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общей площади жилых помещений, приходящихся в среднем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на одного жителя,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Увеличение обновленного жилищного фонда с базового периода,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Увеличение доли граждан, переселенных из непригодного для проживания жилищного фонда,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Увеличение доли населения, для которого улучшится качество предоставляемых коммунальных услуг (в сфере тепло-, водоснабжения и водоотведения),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доли домовладений, подключенных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к сетевому природному газу, в том числе в рамках программы социальной газификации,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Минпром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Минпром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доли домохозяйств, которым обеспечена возможность широкополосного доступа к информационно-телекоммуникационной сети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«Интернет», процентов</w:t>
            </w:r>
          </w:p>
          <w:p w:rsidR="00446A4D" w:rsidRDefault="00446A4D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Увеличение доли парка подвижного состава общественного транспорта, имеющего срок эксплуатации не старше нормативного,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доли улично-дорожной сети в ОНП,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находящейся в нормативном состоянии,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Увеличение доли общей площади мест приложения труда (нежилой недвижимости) обновленной с базового периода,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доли объектов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(дошкольного и общего) образования, находящихся в удовлетворительном состоянии (не требующих капитального ремонта),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доли объектов первичной медико-санитарной помощи государственных медицинских организаций,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находящихся в удовлетворительном состоянии (имеющих физический износ менее 60% и не находящихся в аварийном состоянии),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единовременной пропускной способности спортивных сооружений относительно нормативной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пропускной способности,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доли объектов организаций культурно-досугового типа и библиотек, находящихся в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lastRenderedPageBreak/>
              <w:t>удовлетворительном состоянии,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Минкультуры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Минкультуры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widowControl w:val="0"/>
              <w:shd w:val="clear" w:color="FFFFFF" w:fill="FFFFFF"/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Увеличение доли 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>благоустроенных общественных территорий,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10.</w:t>
            </w: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автомобильных дорог крупнейших городских агломераций и автомобильных дорог регионального значения (включая дороги, отнесенные к опорной сети автомобильных дорог), </w:t>
            </w:r>
            <w:r>
              <w:rPr>
                <w:rFonts w:eastAsia="Times New Roman"/>
                <w:color w:val="000000" w:themeColor="text1"/>
                <w:highlight w:val="white"/>
              </w:rPr>
              <w:t>соответствующих нормативам,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 xml:space="preserve">Доля автомобильных дорог, входящих в опорную сеть, соответствующих нормативным требованиям, процентов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 xml:space="preserve">Доля дорожной сети крупнейших городских агломераций, </w:t>
            </w:r>
            <w:r>
              <w:rPr>
                <w:rFonts w:eastAsia="Times New Roman"/>
                <w:color w:val="000000" w:themeColor="text1"/>
              </w:rPr>
              <w:t>находящейся в нормативном состоянии,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Доля автомобильных дорог регионального и межмуниципального значения, соответствующих нормативным требованиям,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парка общественного </w:t>
            </w:r>
            <w:r>
              <w:rPr>
                <w:rFonts w:eastAsia="Times New Roman"/>
                <w:color w:val="000000" w:themeColor="text1"/>
                <w:highlight w:val="white"/>
              </w:rPr>
              <w:t>транспорта, имеющего срок эксплуатации не старше нормативного, в агломерациях и городах,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Качество окружающей среды, процентов (годовой)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Минэкологии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Минэкологии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Количество несанкционированных свалок 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отходов на территории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муниципальных районов и городских округов Республики Татарстан, штук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Минэкологии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Минэкологии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Минэкологии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Минэкологии РТ,</w:t>
            </w:r>
          </w:p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Количество населения, вовлеченного в мероприятия по воспроизводству лесов и </w:t>
            </w:r>
            <w:r>
              <w:rPr>
                <w:rFonts w:eastAsia="Times New Roman"/>
                <w:color w:val="000000" w:themeColor="text1"/>
                <w:highlight w:val="white"/>
              </w:rPr>
              <w:t>лесоразведению, человек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РТ, ОМСУ (по согласованию)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 xml:space="preserve">Доля </w:t>
            </w:r>
            <w:proofErr w:type="spellStart"/>
            <w:r>
              <w:rPr>
                <w:rFonts w:eastAsia="Times New Roman"/>
                <w:color w:val="000000" w:themeColor="text1"/>
              </w:rPr>
              <w:t>захораниваемых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твердых коммунальных отходов в общей массе образованных твердых коммунальных отходов, </w:t>
            </w:r>
            <w:r>
              <w:rPr>
                <w:rFonts w:eastAsia="Times New Roman"/>
                <w:color w:val="000000" w:themeColor="text1"/>
                <w:highlight w:val="white"/>
              </w:rPr>
              <w:t>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 xml:space="preserve">Доля обрабатываемых твердых коммунальных отходов в общей массе образованных твердых коммунальных отходов, </w:t>
            </w:r>
            <w:r>
              <w:rPr>
                <w:rFonts w:eastAsia="Times New Roman"/>
                <w:color w:val="000000" w:themeColor="text1"/>
                <w:highlight w:val="white"/>
              </w:rPr>
              <w:t>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contextualSpacing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 xml:space="preserve">Отношение площади </w:t>
            </w:r>
            <w:proofErr w:type="spellStart"/>
            <w:r>
              <w:rPr>
                <w:rFonts w:eastAsia="Times New Roman"/>
                <w:color w:val="000000" w:themeColor="text1"/>
              </w:rPr>
              <w:t>лесовосстановления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и лесоразведения к площади вырубленных и погибших лесных насаждений, </w:t>
            </w:r>
            <w:r>
              <w:rPr>
                <w:rFonts w:eastAsia="Times New Roman"/>
                <w:color w:val="000000" w:themeColor="text1"/>
                <w:highlight w:val="white"/>
              </w:rPr>
              <w:t>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 xml:space="preserve">Отнесение площадей </w:t>
            </w:r>
            <w:proofErr w:type="spellStart"/>
            <w:r>
              <w:rPr>
                <w:rFonts w:eastAsia="Times New Roman"/>
                <w:color w:val="000000" w:themeColor="text1"/>
              </w:rPr>
              <w:t>лесовосстановления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к землям, на которых расположены леса, </w:t>
            </w:r>
            <w:proofErr w:type="spellStart"/>
            <w:r>
              <w:rPr>
                <w:rFonts w:eastAsia="Times New Roman"/>
                <w:color w:val="000000" w:themeColor="text1"/>
              </w:rPr>
              <w:t>тыс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гектаров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 xml:space="preserve">Сокращение площади лесных пожаров на землях лесного фонда по отношению к 2021 году, </w:t>
            </w:r>
            <w:r>
              <w:rPr>
                <w:rFonts w:eastAsia="Times New Roman"/>
                <w:color w:val="000000" w:themeColor="text1"/>
                <w:highlight w:val="white"/>
              </w:rPr>
              <w:t>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shd w:val="clear" w:color="FFFFFF" w:fill="FFFFFF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Минлесхоз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strike/>
                <w:color w:val="000000" w:themeColor="text1"/>
                <w:highlight w:val="white"/>
              </w:rPr>
            </w:pPr>
            <w:r>
              <w:rPr>
                <w:rFonts w:eastAsia="Times New Roman"/>
                <w:strike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Темп роста (индекс роста) реального среднедушевого денежного дохода населения (к базовому 2020 году),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ЕГСО 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Темп роста (индекс роста) реального среднедушевого </w:t>
            </w:r>
            <w:r>
              <w:rPr>
                <w:rFonts w:eastAsia="Times New Roman"/>
                <w:color w:val="000000" w:themeColor="text1"/>
              </w:rPr>
              <w:t xml:space="preserve">денежного дохода </w:t>
            </w:r>
            <w:r>
              <w:rPr>
                <w:rFonts w:eastAsia="Times New Roman"/>
                <w:color w:val="000000" w:themeColor="text1"/>
              </w:rPr>
              <w:lastRenderedPageBreak/>
              <w:t>населения,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ЕГСО</w:t>
            </w:r>
          </w:p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«Отчеты ведомств»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бюджетных </w:t>
            </w:r>
            <w:r>
              <w:rPr>
                <w:rFonts w:eastAsia="Times New Roman"/>
                <w:color w:val="000000" w:themeColor="text1"/>
              </w:rPr>
              <w:t>ассигнований федерального бюджета (к базовому 2020 году), процентов (годовой)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Объем инвестиций в основной капитал, млн рублей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Минэкономики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</w:t>
            </w:r>
          </w:p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«Отчеты ведомств»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Объем инвестиций в основной капитал крупных и </w:t>
            </w:r>
            <w:r>
              <w:rPr>
                <w:rFonts w:eastAsia="Times New Roman"/>
                <w:color w:val="000000" w:themeColor="text1"/>
                <w:highlight w:val="white"/>
              </w:rPr>
              <w:t>средних предприятий (за исключением бюджетных средств), тыс. рублей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Минэкономики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ЕГСО</w:t>
            </w:r>
          </w:p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«Отчеты ведомств»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15.</w:t>
            </w: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  <w:p w:rsidR="00446A4D" w:rsidRDefault="00446A4D">
            <w:pPr>
              <w:pStyle w:val="ConsPlusNormal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Темп роста дохода в расчете на одного работника субъекта малого и среднего предпринимательства (к базовому 2023 году), процентов (годовой)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Темп роста оборота в расчете на одного работника субъекта малого и среднего предпринимательства,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Минэкономики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Минэкономики РТ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</w:rPr>
              <w:t xml:space="preserve">Доля субъектов МСП, превысивших предельные значения для определения </w:t>
            </w:r>
            <w:r>
              <w:rPr>
                <w:rFonts w:eastAsia="Times New Roman"/>
              </w:rPr>
              <w:t>категорий субъектов МСП (микро-, малые, средние), процентов (годовой)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Минэкономики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субъектов МСП, превысивших предельные значения для определения категорий субъектов МСП (микро-, малые, средние),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Минэкономики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Минэкономики РТ</w:t>
            </w:r>
          </w:p>
        </w:tc>
      </w:tr>
      <w:tr w:rsidR="00446A4D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1</w:t>
            </w:r>
            <w:r>
              <w:rPr>
                <w:rFonts w:eastAsia="Times New Roman"/>
                <w:color w:val="000000" w:themeColor="text1"/>
                <w:highlight w:val="white"/>
              </w:rPr>
              <w:t>6.</w:t>
            </w:r>
          </w:p>
          <w:p w:rsidR="00446A4D" w:rsidRDefault="00446A4D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«Цифровая зрелость» государственного и муниципального управления, ключевых отраслей экономики и социальной сферы, в том числе здравоохранения и образования,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Государственное и муниципальное </w:t>
            </w:r>
            <w:r>
              <w:rPr>
                <w:rFonts w:eastAsia="Times New Roman"/>
                <w:color w:val="000000" w:themeColor="text1"/>
                <w:highlight w:val="white"/>
              </w:rPr>
              <w:t>управление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российского программного обеспечения, используемого в деятельности органов государственной власти субъекта Российской Федерации,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сотрудников органов исполнительной власти, органов местного </w:t>
            </w:r>
            <w:r>
              <w:rPr>
                <w:rFonts w:eastAsia="Times New Roman"/>
                <w:color w:val="000000" w:themeColor="text1"/>
                <w:highlight w:val="white"/>
              </w:rPr>
              <w:t>самоуправления и подведомственных организаций, использующих систему электронного документооборота,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органов государственной власти субъекта Российской Федерации, использующих типовые сервисы и платформенные компо</w:t>
            </w:r>
            <w:r>
              <w:rPr>
                <w:rFonts w:eastAsia="Times New Roman"/>
                <w:color w:val="000000" w:themeColor="text1"/>
                <w:highlight w:val="white"/>
              </w:rPr>
              <w:t>ненты инфраструктуры электронного правительства,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контрольных (надзорных) и профилактических мероприятий, проведенных дистанционно,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Минэкономики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Минэкономики РТ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цифровых платформ, используемых в государственном и муниципальном управлении, а также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ключевых отраслях экономики, включая платформы на основе данных с учетом внедрения машинного обучения и искусственного интеллекта, в которых реализованы мероприятия по об</w:t>
            </w:r>
            <w:r>
              <w:rPr>
                <w:rFonts w:eastAsia="Times New Roman"/>
                <w:color w:val="000000" w:themeColor="text1"/>
                <w:highlight w:val="white"/>
              </w:rPr>
              <w:t>еспечению информационной безопасности,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Минцифра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массовых социально значимых государственных и муниципальных услуг, предоставляемых в электронном виде,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Минцифра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Городская среда и </w:t>
            </w:r>
            <w:r>
              <w:rPr>
                <w:rFonts w:eastAsia="Times New Roman"/>
                <w:color w:val="000000" w:themeColor="text1"/>
                <w:highlight w:val="white"/>
              </w:rPr>
              <w:t>жилищно-коммунальное хозяйство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профильных органов государственной власти субъекта Российской Федерации и местного самоуправления, использующих цифровые сервисы на базе отраслевой цифровой платформы «Управление ЖКХ и коммунальной инфраструктурой» и </w:t>
            </w:r>
            <w:r>
              <w:rPr>
                <w:rFonts w:eastAsia="Times New Roman"/>
                <w:color w:val="000000" w:themeColor="text1"/>
                <w:highlight w:val="white"/>
              </w:rPr>
              <w:t>(или) интегрированных с ней региональных информационных систем (платформ) с аналогичной функциональностью,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объектов коммунальной инфраструктуры, для которых заполнены цифровые паспорта на отраслевой цифровой 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платформе «Управление ЖКХ и коммунальной инфраструктурой» и (или) в интегрированных с ней региональных информационных системах (платформах) с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аналогичной функциональностью,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Количество активных пользователей мобильног</w:t>
            </w:r>
            <w:r>
              <w:rPr>
                <w:rFonts w:eastAsia="Times New Roman"/>
                <w:color w:val="000000" w:themeColor="text1"/>
                <w:highlight w:val="white"/>
              </w:rPr>
              <w:t>о приложения «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Госуслуги.Дом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» и (или) его региональных аналогов, </w:t>
            </w:r>
            <w:r>
              <w:rPr>
                <w:rFonts w:eastAsia="Times New Roman"/>
                <w:color w:val="000000" w:themeColor="text1"/>
              </w:rPr>
              <w:t>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Минстрой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Здравоохранение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граждан, воспользовавшихся услугами (сервисами) в Личном кабинете пациента «Мое здоровье» на Едином портале государственных и </w:t>
            </w:r>
            <w:r>
              <w:rPr>
                <w:rFonts w:eastAsia="Times New Roman"/>
                <w:color w:val="000000" w:themeColor="text1"/>
                <w:highlight w:val="white"/>
              </w:rPr>
              <w:t>муниципальных услуг (функций),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медицинских организаций, осуществляющих централизованную обработку и хранение в электронном виде результатов диагностических исследований,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граждан, которым доступны врачебные назначения (рецепты) в форме электронного документа, в том числе на Едином портале государственных и муниципальных услуг (функций),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записей на прием к врачу, совершенных </w:t>
            </w:r>
            <w:r>
              <w:rPr>
                <w:rFonts w:eastAsia="Times New Roman"/>
                <w:color w:val="000000" w:themeColor="text1"/>
                <w:highlight w:val="white"/>
              </w:rPr>
              <w:t>гражданами дистанционно,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граждан, являющихся пользователями Единого портала государственных и муниципальных услуг (функций), которым доступны электронные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 xml:space="preserve">медицинские документы в Личном кабинете пациента «Мое </w:t>
            </w:r>
            <w:r>
              <w:rPr>
                <w:rFonts w:eastAsia="Times New Roman"/>
                <w:color w:val="000000" w:themeColor="text1"/>
                <w:highlight w:val="white"/>
              </w:rPr>
              <w:t>здоровье» по факту оказания медицинской помощи,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</w:t>
            </w:r>
            <w:r>
              <w:rPr>
                <w:rFonts w:eastAsia="Times New Roman"/>
                <w:color w:val="000000" w:themeColor="text1"/>
                <w:highlight w:val="white"/>
              </w:rPr>
              <w:t>медицинской помощи гражданам, обеспечивающих информационное взаимодействие с ЕГИСЗ,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случаев оказания медицинской помощи, по которым предоставлены электронные медицинские документы в подсистемы ЕГИСЗ,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</w:t>
            </w:r>
            <w:r>
              <w:rPr>
                <w:rFonts w:eastAsia="Times New Roman"/>
                <w:color w:val="000000" w:themeColor="text1"/>
                <w:highlight w:val="white"/>
              </w:rPr>
              <w:t>инздрав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Минздрав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Образование (общее)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государственных и муниципальных общеобразовательных организаций и организаций среднего профессионального образования, использующих платформу ФГИС «Моя школа»,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учителей государственных и муниципальных общеобразовательных организаций, обеспеченных персональными электронно-вычислительными устройствами на базе отечественной операционной системы для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 xml:space="preserve">организации доступа к цифровым образовательным сервисам и цифровому </w:t>
            </w:r>
            <w:r>
              <w:rPr>
                <w:rFonts w:eastAsia="Times New Roman"/>
                <w:color w:val="000000" w:themeColor="text1"/>
                <w:highlight w:val="white"/>
              </w:rPr>
              <w:t>образовательному контенту,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зданий государственных и муниципальных общеобразовательных организаций и организаций среднего профессионального образования, в которых созданы беспроводные сети стандарта 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Wi-Fi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для </w:t>
            </w:r>
            <w:r>
              <w:rPr>
                <w:rFonts w:eastAsia="Times New Roman"/>
                <w:color w:val="000000" w:themeColor="text1"/>
                <w:highlight w:val="white"/>
              </w:rPr>
              <w:t>обеспечения возможности доступа к информационно-телекоммуникационной сети «Интернет» и обеспечено видеонаблюдение за входными группами,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зданий государственных и муниципальных общеобразовательных организаций и органи</w:t>
            </w:r>
            <w:r>
              <w:rPr>
                <w:rFonts w:eastAsia="Times New Roman"/>
                <w:color w:val="000000" w:themeColor="text1"/>
                <w:highlight w:val="white"/>
              </w:rPr>
              <w:t>заций среднего профессионального образования, обеспеченных высокоскоростным доступом к сети Интернет,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обучающихся, родителей (законных представителей) и педагогических работников, которым обеспечен равный доступ на </w:t>
            </w:r>
            <w:r>
              <w:rPr>
                <w:rFonts w:eastAsia="Times New Roman"/>
                <w:color w:val="000000" w:themeColor="text1"/>
                <w:highlight w:val="white"/>
              </w:rPr>
              <w:t>безвозмездной основе к верифицированному цифровому образовательному контенту,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Минобр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 xml:space="preserve">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Физическая культура и спорт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государственных и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 xml:space="preserve">муниципальных спортивных организаций, подведомственных органам исполнительной власти и 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органам местного самоуправления в сфере спорта, использующих сервисы цифровой платформы «Мой спорт» или РИС 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ФКиС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>, интегрированных с ФГИС «Спорт»,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 xml:space="preserve">Минспорта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 xml:space="preserve">Минспорта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Количество активных пользователей государственных цифровых сервисов </w:t>
            </w:r>
            <w:r>
              <w:rPr>
                <w:rFonts w:eastAsia="Times New Roman"/>
                <w:color w:val="000000" w:themeColor="text1"/>
                <w:highlight w:val="white"/>
              </w:rPr>
              <w:t>и приложений в сфере физической культуры и спорта,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государственных и муниципальных объектов спорта, зарегистрированных в цифровой платформе «Мой спорт» или РИС 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ФКиС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>, интегрированных с ФГИС «Спорт», и имеющих д</w:t>
            </w:r>
            <w:r>
              <w:rPr>
                <w:rFonts w:eastAsia="Times New Roman"/>
                <w:color w:val="000000" w:themeColor="text1"/>
                <w:highlight w:val="white"/>
              </w:rPr>
              <w:t>инамически оцениваемые показатели загруженности в зависимости от их единовременной пропускной способности с возможностью выбора времени для бронирования посещения,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спортивных соревнований, включенных в 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календарный план субъекта Российской Федерации в цифровом безбумажном виде посредством цифровой платформы «Мой спорт» или РИС 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ФКиС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>, интегрированных с ФГИС «Спорт», результаты которых внесены в цифровой профиль спортсмена,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</w:t>
            </w:r>
            <w:r>
              <w:rPr>
                <w:rFonts w:eastAsia="Times New Roman"/>
                <w:color w:val="000000" w:themeColor="text1"/>
                <w:highlight w:val="white"/>
              </w:rPr>
              <w:t>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физкультурных мероприятий, включенных в календарный план субъекта Российской Федерации в цифровом безбумажном виде посредством цифровой платформы «Мой спорт» или РИС </w:t>
            </w:r>
            <w:proofErr w:type="spellStart"/>
            <w:r>
              <w:rPr>
                <w:rFonts w:eastAsia="Times New Roman"/>
                <w:color w:val="000000" w:themeColor="text1"/>
                <w:highlight w:val="white"/>
              </w:rPr>
              <w:t>ФКиС</w:t>
            </w:r>
            <w:proofErr w:type="spellEnd"/>
            <w:r>
              <w:rPr>
                <w:rFonts w:eastAsia="Times New Roman"/>
                <w:color w:val="000000" w:themeColor="text1"/>
                <w:highlight w:val="white"/>
              </w:rPr>
              <w:t>, интегрированных с ФГИС «Спорт», по которым обеспечено информирование гр</w:t>
            </w:r>
            <w:r>
              <w:rPr>
                <w:rFonts w:eastAsia="Times New Roman"/>
                <w:color w:val="000000" w:themeColor="text1"/>
                <w:highlight w:val="white"/>
              </w:rPr>
              <w:t>аждан об их проведении с возможностью подачи заявки на участие в мероприятии в режиме онлайн,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государственных и муниципальных спортивных организаций, подведомственных органам исполнительной власти и органам </w:t>
            </w:r>
            <w:r>
              <w:rPr>
                <w:rFonts w:eastAsia="Times New Roman"/>
                <w:color w:val="000000" w:themeColor="text1"/>
                <w:highlight w:val="white"/>
              </w:rPr>
              <w:t>местного самоуправления в сфере спорта, реализующих дополнительные образовательные программы спортивной подготовки, обеспечивающих электронную запись на занятия физической культурой и спортом,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Минспорта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Транспорт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</w:t>
            </w:r>
            <w:r>
              <w:rPr>
                <w:rFonts w:eastAsia="Times New Roman"/>
                <w:color w:val="000000" w:themeColor="text1"/>
                <w:highlight w:val="white"/>
              </w:rPr>
              <w:t>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безналичной оплаты проезда,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 xml:space="preserve">Доля 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автобусов,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осуществляющих регулярные перевозки пассажиров в городском, пригородном и междугородном (в пределах субъекта Российской Федерации) сообщении, для которых обеспечена в открытом доступе информация об их реальном движении по маршруту,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Мин</w:t>
            </w:r>
            <w:r>
              <w:rPr>
                <w:rFonts w:eastAsia="Times New Roman"/>
                <w:color w:val="000000" w:themeColor="text1"/>
                <w:highlight w:val="white"/>
              </w:rPr>
              <w:t xml:space="preserve">транс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 xml:space="preserve">Минтранс </w:t>
            </w: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РТ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</w:tr>
      <w:tr w:rsidR="00446A4D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446A4D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видеонаблюдения салонов (с функцией записи), соотв</w:t>
            </w:r>
            <w:r>
              <w:rPr>
                <w:rFonts w:eastAsia="Times New Roman"/>
                <w:color w:val="000000" w:themeColor="text1"/>
                <w:highlight w:val="white"/>
              </w:rPr>
              <w:t>етствующих требованиям о защите персональных данных, процентов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  <w:lang w:val="en-US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Минтранс РТ</w:t>
            </w:r>
            <w:r>
              <w:rPr>
                <w:rFonts w:eastAsia="Times New Roman"/>
                <w:color w:val="000000" w:themeColor="text1"/>
                <w:highlight w:val="white"/>
                <w:lang w:val="en-US"/>
              </w:rPr>
              <w:t xml:space="preserve">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4D" w:rsidRDefault="008C6AA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/>
                <w:color w:val="000000" w:themeColor="text1"/>
              </w:rPr>
              <w:t>».</w:t>
            </w:r>
          </w:p>
        </w:tc>
      </w:tr>
    </w:tbl>
    <w:p w:rsidR="00446A4D" w:rsidRDefault="00446A4D">
      <w:pPr>
        <w:pStyle w:val="aff"/>
        <w:jc w:val="both"/>
        <w:rPr>
          <w:color w:val="000000" w:themeColor="text1"/>
          <w:sz w:val="28"/>
          <w:szCs w:val="28"/>
        </w:rPr>
      </w:pPr>
    </w:p>
    <w:sectPr w:rsidR="00446A4D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AC5"/>
    <w:multiLevelType w:val="multilevel"/>
    <w:tmpl w:val="2940EA04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474"/>
    <w:multiLevelType w:val="multilevel"/>
    <w:tmpl w:val="050615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D"/>
    <w:rsid w:val="00446A4D"/>
    <w:rsid w:val="008C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1EF2"/>
  <w15:docId w15:val="{07CC85CC-49A1-420C-AA61-C35ADB30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hd w:val="clear" w:color="auto" w:fill="CCCCCC"/>
      <w:spacing w:line="360" w:lineRule="atLeast"/>
      <w:ind w:firstLine="709"/>
      <w:jc w:val="both"/>
    </w:pPr>
    <w:rPr>
      <w:rFonts w:ascii="Times New Roman" w:eastAsia="Calibri" w:hAnsi="Times New Roman" w:cs="Times New Roman"/>
      <w:color w:val="333333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Символ сноски"/>
    <w:uiPriority w:val="99"/>
    <w:unhideWhenUsed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af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Arial" w:eastAsia="Calibri" w:hAnsi="Arial" w:cs="Arial"/>
      <w:color w:val="333333"/>
      <w:sz w:val="18"/>
      <w:szCs w:val="18"/>
      <w:shd w:val="clear" w:color="auto" w:fill="CCCCCC"/>
      <w:lang w:eastAsia="ru-RU"/>
    </w:rPr>
  </w:style>
  <w:style w:type="paragraph" w:styleId="a4">
    <w:name w:val="Title"/>
    <w:basedOn w:val="a"/>
    <w:next w:val="af8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ascii="PT Astra Serif" w:hAnsi="PT Astra Serif" w:cs="Mangal"/>
    </w:rPr>
  </w:style>
  <w:style w:type="paragraph" w:styleId="af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b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d">
    <w:name w:val="TOC Heading"/>
    <w:uiPriority w:val="39"/>
    <w:unhideWhenUsed/>
    <w:pPr>
      <w:spacing w:after="160" w:line="259" w:lineRule="auto"/>
    </w:pPr>
  </w:style>
  <w:style w:type="paragraph" w:styleId="afe">
    <w:name w:val="table of figures"/>
    <w:basedOn w:val="a"/>
    <w:next w:val="a"/>
    <w:uiPriority w:val="99"/>
    <w:unhideWhenUsed/>
    <w:qFormat/>
  </w:style>
  <w:style w:type="paragraph" w:styleId="aff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qFormat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12">
    <w:name w:val="Основной текст1"/>
    <w:qFormat/>
    <w:pPr>
      <w:spacing w:after="140" w:line="276" w:lineRule="auto"/>
    </w:pPr>
  </w:style>
  <w:style w:type="paragraph" w:customStyle="1" w:styleId="24">
    <w:name w:val="Основной текст2"/>
    <w:qFormat/>
    <w:pPr>
      <w:spacing w:after="140" w:line="276" w:lineRule="auto"/>
    </w:p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0496-01B2-4CB2-A8B1-B3ACA706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5371</Words>
  <Characters>30621</Characters>
  <Application>Microsoft Office Word</Application>
  <DocSecurity>0</DocSecurity>
  <Lines>255</Lines>
  <Paragraphs>71</Paragraphs>
  <ScaleCrop>false</ScaleCrop>
  <Company/>
  <LinksUpToDate>false</LinksUpToDate>
  <CharactersWithSpaces>35921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dc:description/>
  <cp:lastModifiedBy>Сабирзянова Гулина Анасовна</cp:lastModifiedBy>
  <cp:revision>98</cp:revision>
  <dcterms:created xsi:type="dcterms:W3CDTF">2023-04-27T07:28:00Z</dcterms:created>
  <dcterms:modified xsi:type="dcterms:W3CDTF">2025-08-08T06:59:00Z</dcterms:modified>
  <dc:language>ru-RU</dc:language>
</cp:coreProperties>
</file>