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4"/>
        <w:ind w:right="5669" w:firstLine="0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О внесении изменения в Порядок предоставления субсидий из бюд</w:t>
      </w:r>
      <w:r>
        <w:rPr>
          <w:sz w:val="28"/>
          <w:szCs w:val="28"/>
        </w:rPr>
        <w:t xml:space="preserve">жета Республики Татарстан некоммерческим организ</w:t>
      </w:r>
      <w:r>
        <w:rPr>
          <w:color w:val="000000"/>
          <w:sz w:val="28"/>
          <w:szCs w:val="28"/>
        </w:rPr>
        <w:t xml:space="preserve">ациям, не являющимся государственными (муниципальными) учреждениями, в целях ф</w:t>
      </w:r>
      <w:r>
        <w:rPr>
          <w:sz w:val="28"/>
          <w:szCs w:val="28"/>
        </w:rPr>
        <w:t xml:space="preserve">инансового обеспечения (возмещения) затрат, связанных с оплатой тр</w:t>
      </w:r>
      <w:r>
        <w:rPr>
          <w:sz w:val="28"/>
          <w:szCs w:val="28"/>
        </w:rPr>
        <w:t xml:space="preserve">уда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Порядок предоставления субсиди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11" w:tooltip="https://login.consultant.ru/link/?req=doc&amp;base=RLAW363&amp;n=167031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746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от 29.12.2022 </w:t>
      </w:r>
      <w:hyperlink r:id="rId12" w:tooltip="https://login.consultant.ru/link/?req=doc&amp;base=RLAW363&amp;n=170686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№ 1440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от 04.02.2023 </w:t>
      </w:r>
      <w:hyperlink r:id="rId13" w:tooltip="https://login.consultant.ru/link/?req=doc&amp;base=RLAW363&amp;n=171697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№ 99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от 04.03.2024 </w:t>
      </w:r>
      <w:hyperlink r:id="rId14" w:tooltip="https://login.consultant.ru/link/?req=doc&amp;base=RLAW363&amp;n=182026&amp;date=16.05.2024&amp;dst=100005&amp;field=134" w:history="1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№ 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от 02.09.2024 № 716, от 12.09.2024 № 762, от 14.01.2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025 № 10), изменение, изложив пункт 1.5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«1.5. Размер субсидии на финансовое обеспечение затрат (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  <w:vertAlign w:val="subscript"/>
        </w:rPr>
        <w:t xml:space="preserve">ФО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определяется по следующей формуле: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24"/>
        <w:ind w:left="0" w:right="0" w:firstLine="0"/>
        <w:jc w:val="center"/>
        <w:spacing w:before="0" w:after="0" w:afterAutospacing="0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С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ФО</w:t>
      </w:r>
      <w:r>
        <w:rPr>
          <w:rFonts w:eastAsia="Times New Roman" w:cs="Times New Roman"/>
          <w:color w:val="000000"/>
          <w:sz w:val="24"/>
          <w:highlight w:val="white"/>
        </w:rPr>
        <w:t xml:space="preserve"> = Р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ОТ</w:t>
      </w:r>
      <w:r>
        <w:rPr>
          <w:rFonts w:eastAsia="Times New Roman" w:cs="Times New Roman"/>
          <w:color w:val="000000"/>
          <w:sz w:val="24"/>
          <w:highlight w:val="white"/>
        </w:rPr>
        <w:t xml:space="preserve"> + Р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Н</w:t>
      </w:r>
      <w:r>
        <w:rPr>
          <w:rFonts w:eastAsia="Times New Roman" w:cs="Times New Roman"/>
          <w:color w:val="000000"/>
          <w:sz w:val="24"/>
          <w:highlight w:val="white"/>
        </w:rPr>
        <w:t xml:space="preserve">,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где: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Р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ОТ</w:t>
      </w:r>
      <w:r>
        <w:rPr>
          <w:rFonts w:eastAsia="Times New Roman" w:cs="Times New Roman"/>
          <w:color w:val="000000"/>
          <w:sz w:val="24"/>
          <w:highlight w:val="white"/>
        </w:rPr>
        <w:t xml:space="preserve"> - расходы на оплату труда работников получателя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 w:line="240" w:lineRule="auto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Р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Н</w:t>
      </w:r>
      <w:r>
        <w:rPr>
          <w:rFonts w:eastAsia="Times New Roman" w:cs="Times New Roman"/>
          <w:color w:val="000000"/>
          <w:sz w:val="24"/>
          <w:highlight w:val="white"/>
        </w:rPr>
        <w:t xml:space="preserve"> - расходы на начисления на выплаты по оплате труда.</w:t>
      </w:r>
      <w:r>
        <w:rPr>
          <w:highlight w:val="white"/>
        </w:rPr>
      </w:r>
      <w:r>
        <w:rPr>
          <w:highlight w:val="whit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Расходы на оплату труда работников получателя субсидии определяются исходя из расчетной численности работ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ников, расчетных должностных окладов и тарифных ставок в соответствии с утвержденным штатным расписанием, стимулирующих выплат, а также иных выплат, предусмотренных законодательством Российской Федерации, локальными нормативными актами получателя субсидии.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Расходы на начисления на выплаты по оплате труда включают уплату налогов,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Размер субсидии на возмещение затрат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(С</w:t>
      </w: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  <w:vertAlign w:val="subscript"/>
        </w:rPr>
        <w:t xml:space="preserve">ВЗ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определяется по следующей формуле: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24"/>
        <w:ind w:left="0" w:right="0" w:firstLine="0"/>
        <w:jc w:val="center"/>
        <w:spacing w:before="0" w:after="0" w:afterAutospacing="0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С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ВЗ</w:t>
      </w:r>
      <w:r>
        <w:rPr>
          <w:rFonts w:eastAsia="Times New Roman" w:cs="Times New Roman"/>
          <w:color w:val="000000"/>
          <w:sz w:val="24"/>
          <w:highlight w:val="white"/>
        </w:rPr>
        <w:t xml:space="preserve"> = З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ОТ</w:t>
      </w:r>
      <w:r>
        <w:rPr>
          <w:rFonts w:eastAsia="Times New Roman" w:cs="Times New Roman"/>
          <w:color w:val="000000"/>
          <w:sz w:val="24"/>
          <w:highlight w:val="white"/>
        </w:rPr>
        <w:t xml:space="preserve"> + З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Н</w:t>
      </w:r>
      <w:r>
        <w:rPr>
          <w:rFonts w:eastAsia="Times New Roman" w:cs="Times New Roman"/>
          <w:color w:val="000000"/>
          <w:sz w:val="24"/>
          <w:highlight w:val="white"/>
        </w:rPr>
        <w:t xml:space="preserve">,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где: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З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ОТ</w:t>
      </w:r>
      <w:r>
        <w:rPr>
          <w:rFonts w:eastAsia="Times New Roman" w:cs="Times New Roman"/>
          <w:color w:val="000000"/>
          <w:sz w:val="24"/>
          <w:highlight w:val="white"/>
        </w:rPr>
        <w:t xml:space="preserve"> - </w:t>
      </w:r>
      <w:r>
        <w:rPr>
          <w:rFonts w:eastAsia="Times New Roman" w:cs="Times New Roman"/>
          <w:color w:val="000000"/>
          <w:sz w:val="24"/>
          <w:highlight w:val="white"/>
        </w:rPr>
        <w:t xml:space="preserve">фактически произведенные</w:t>
      </w:r>
      <w:r>
        <w:rPr>
          <w:rFonts w:eastAsia="Times New Roman" w:cs="Times New Roman"/>
          <w:color w:val="000000"/>
          <w:sz w:val="24"/>
          <w:highlight w:val="white"/>
        </w:rPr>
        <w:t xml:space="preserve"> затраты на оплату труда работников получателя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82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rFonts w:eastAsia="Times New Roman" w:cs="Times New Roman"/>
          <w:color w:val="000000"/>
          <w:sz w:val="24"/>
          <w:highlight w:val="white"/>
        </w:rPr>
        <w:t xml:space="preserve">З</w:t>
      </w:r>
      <w:r>
        <w:rPr>
          <w:rFonts w:eastAsia="Times New Roman" w:cs="Times New Roman"/>
          <w:color w:val="000000"/>
          <w:sz w:val="20"/>
          <w:highlight w:val="white"/>
          <w:vertAlign w:val="subscript"/>
        </w:rPr>
        <w:t xml:space="preserve">Н</w:t>
      </w:r>
      <w:r>
        <w:rPr>
          <w:rFonts w:eastAsia="Times New Roman" w:cs="Times New Roman"/>
          <w:color w:val="000000"/>
          <w:sz w:val="24"/>
          <w:highlight w:val="white"/>
        </w:rPr>
        <w:t xml:space="preserve"> - </w:t>
      </w:r>
      <w:r>
        <w:rPr>
          <w:rFonts w:eastAsia="Times New Roman" w:cs="Times New Roman"/>
          <w:color w:val="000000"/>
          <w:sz w:val="24"/>
          <w:highlight w:val="white"/>
        </w:rPr>
        <w:t xml:space="preserve">фактически произведенные</w:t>
      </w:r>
      <w:r>
        <w:rPr>
          <w:rFonts w:eastAsia="Times New Roman" w:cs="Times New Roman"/>
          <w:color w:val="000000"/>
          <w:sz w:val="24"/>
          <w:highlight w:val="white"/>
        </w:rPr>
        <w:t xml:space="preserve"> затраты на начисления на выплаты по оплате труда.</w:t>
      </w:r>
      <w:r>
        <w:rPr>
          <w:highlight w:val="white"/>
        </w:rPr>
      </w:r>
      <w:r>
        <w:rPr>
          <w:highlight w:val="whit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Фактически произведенные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атр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аты на оплату труда работников получателя субсидии, определяются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основании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документов, представленных в соответствии с </w:t>
      </w:r>
      <w:r>
        <w:rPr>
          <w:highlight w:val="white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instrText xml:space="preserve"> HYPERLINK "../../../../opt/r7-office/desktopeditors/editors/web-apps/apps/documenteditor/main/index.html%3F_dc=0&amp;lang=ru-RU&amp;frameEditorId=placeholder&amp;parentOrigin=file://" \l "P208"</w:instrTex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абзацем пятым пункта 5.1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настоящего Порядка, расчетной численности работ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ников, расчетных должностных окладов и тарифных ставок в соответствии с утвержденным штатным расписанием, стимулирующих выплат, а также иных выплат, предусмотренных законодательством Российской Федерации, локальными нормативными актами получателя субсидии.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Фактически произведенные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атраты на начисления на выплаты по оплате труда включают уплату налогов,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ределяются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Должностной оклад руководителя получа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теля субсидии определяется в размере, не превышающем месячного денежного вознаграждения, установленного для министра Республики Татарстан. Количество заместителей руководителя получателя субсидии не должно превышать 25 процентов от общей штатной численност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работников получателя субсидии. Должностной оклад заместителей руководителя получателя субсидии определяется из расчета на одну должность не более 0,5 должностного оклада  руководителя получателя субсидии, должностной оклад советников руководителя получа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теля субсидии определяется из расчета на одну должность не более 0,315064 должностного оклада руководителя получателя субсидии, остальные должности, отнесенные к категории «руководители», - не более 0,4 должностного оклада руководителя получателя субсидии.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 категории должностей «руководители» относятся должности: «руководитель получателя субсидии», «исполнительный секретарь», «заместитель исполнительного секретаря»;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 категории должностей «советники» относится должность: «советник руководителя получателя субсидии».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Заработная плата работников, непосредственно выполняющих работы, направленные на достижение результата предоставления субсидии и реализацию мероприятий, указанных в </w:t>
      </w:r>
      <w:hyperlink r:id="rId15" w:tooltip="file:///opt/r7-office/desktopeditors/editors/web-apps/apps/documenteditor/main/index.html?_dc=0&amp;lang=ru-RU&amp;frameEditorId=placeholder&amp;parentOrigin=file://#P88" w:history="1">
        <w:r>
          <w:rPr>
            <w:rFonts w:ascii="Times New Roman" w:hAnsi="Times New Roman" w:cs="Times New Roman"/>
            <w:color w:val="000000"/>
            <w:sz w:val="28"/>
            <w:szCs w:val="28"/>
            <w:highlight w:val="white"/>
          </w:rPr>
          <w:t xml:space="preserve">пункте 1.2</w:t>
        </w:r>
      </w:hyperlink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настоящего Порядка, не может превышать размер денежного содержания по должности государственного гражданского служащего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центральных аппаратах республиканских органов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исполнительн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ой 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Сопоставимость должнос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тей в штатном расписании получателя субсидии производится по следующим категориям должностей государственной гражданской службы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центральных аппаратах республиканских органов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категории должностей «руководитель структурного подразделения» - не выше уровня главной группы должностей «начальник отдела», ведущей группы должностей «заместитель начальника отдела»;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категории должностей «специалист» - не выше уровня ведущей группы должностей «ведущий советник».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Заработная плата работников, осу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ществляющих техническое обслуживание (рабочих), определяется в размере, установленном для работников отдельных организаций бюджетной сферы, на которые не распространяется Единая тарифная сетка по оплате труда работников бюджетной сферы, по категории «водит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ель» - не выше 5 разряда оплаты Единой тарифной сетки по оплате труда работников бюджетной сферы Республики Татарстан, по категории «уборщица» - не выше 2 разряда оплаты Единой тарифной сетки по оплате труда работников бюджетной сферы Республики Татарстан.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Расходы на оплату труда получателя субсидии определяются из расчета: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14 должностных окладов в год руководителю получателя субсидии, заместителям руководителя и работникам, должности которых отнесены к категориям «руководители» и «советники»;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12 должностных окладов в год с учетом повышающего коэффициента 2,005 работникам, непосредственно выполняющим работы, направленные на достижение результата предоставления субсидии и реализацию мероприятий;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16,8 тарифной ставки в год рабочим, отнесенным к категории «водитель»;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15 тарифных ставок в год рабочим, отнесенным к категории «уборщица».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Стимулирующие выплаты работникам осуществляются ежеквартально.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Расходы на стимулирующие выплаты определяются из расчета: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 должностной оклад заместителям руководителя и работникам, должности которых отнесены к категории «руководит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ели», «советники»;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 должностной оклад с учетом повышающего коэффициента 1,885 работникам, непосредственно выполняющим работы, направленные на достижение результата предоставления субсидии и реализацию мероприятий;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 тарифная ставка работников, осуществляющих техническое обслуживание (рабочих) с учетом повышающего коэффициента 1,25 рабочим, отнесенным к категориям «водитель» и «уборщица».».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89"/>
        <w:contextualSpacing/>
        <w:ind w:left="0" w:firstLine="709"/>
        <w:jc w:val="both"/>
        <w:spacing w:before="0"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Установить, что действие настоящего постановления распространяется на правоотношения, возникшие с 1 мая 2025 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ind w:firstLine="709"/>
        <w:jc w:val="both"/>
        <w:spacing w:before="0" w:after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bookmarkStart w:id="1" w:name="P233"/>
      <w:r>
        <w:rPr>
          <w:highlight w:val="white"/>
        </w:rPr>
      </w:r>
      <w:bookmarkEnd w:id="1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ind w:firstLine="709"/>
        <w:jc w:val="both"/>
        <w:spacing w:before="0" w:after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ind w:firstLine="709"/>
        <w:jc w:val="both"/>
        <w:spacing w:before="0" w:after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jc w:val="both"/>
        <w:spacing w:before="0" w:after="0" w:line="240" w:lineRule="auto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Премьер-министр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24"/>
        <w:jc w:val="both"/>
        <w:spacing w:before="0" w:after="0" w:line="24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Республики Татарстан</w:t>
        <w:tab/>
        <w:tab/>
        <w:tab/>
        <w:t xml:space="preserve">               </w:t>
        <w:tab/>
        <w:tab/>
        <w:t xml:space="preserve">             </w:t>
      </w:r>
      <w:r>
        <w:rPr>
          <w:sz w:val="28"/>
          <w:szCs w:val="28"/>
        </w:rPr>
        <w:t xml:space="preserve">                  А.В.Песошин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before="0"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pStyle w:val="824"/>
        <w:jc w:val="center"/>
        <w:spacing w:before="0" w:after="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pStyle w:val="824"/>
        <w:jc w:val="center"/>
        <w:spacing w:before="0" w:after="0" w:line="240" w:lineRule="auto"/>
        <w:rPr>
          <w:rFonts w:ascii="Times New Roman" w:hAnsi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 внесении изменения в Порядок предоставления субсидий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работников некоммерческих организаций, осуществляющих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151» </w: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</w:p>
    <w:p>
      <w:pPr>
        <w:jc w:val="center"/>
        <w:spacing w:before="0"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highlight w:val="none"/>
        </w:rPr>
      </w:r>
      <w:r>
        <w:rPr>
          <w:rFonts w:ascii="Times New Roman" w:hAnsi="Times New Roman"/>
          <w:b w:val="0"/>
          <w:bCs w:val="0"/>
          <w:highlight w:val="none"/>
        </w:rPr>
      </w:r>
    </w:p>
    <w:p>
      <w:pPr>
        <w:pStyle w:val="824"/>
        <w:ind w:firstLine="567"/>
        <w:jc w:val="both"/>
        <w:spacing w:before="0" w:after="0" w:line="240" w:lineRule="auto"/>
        <w:rPr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Проект постановления Кабинета Министров Республики Татарстан «О внесении изменения в Порядок предоставления субсиди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й из бюджета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х мероприятия, направленные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22.02.2022 № 151 «Об утверждении Порядка предоставления субсидий из бюдж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ета Республики Татарстан некоммерческим организациям, не являющимся государственными (муниципальными) учреждениями, в целях финансового обеспечения (возмещения) затрат, связанных с оплатой труда работников некоммерческих организаций, осуществляющих меропри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ятия, направленные на содействие становлению и развитию местного самоуправления в Республике Татарстан, и о внесении изменений в Порядок предоставления субсидий из бюджета Республики Татарстан некоммерческим организациям, осуществляющим мероприятия, направ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ленные на содействие становлению и развитию местного самоуправления в Республике Татарстан, утвержденный постановлением Кабинета Министров Республики Татарстан от 24.08.2011 № 706 «Об утверждении Порядка предоставления субсидий из бюджета Республики Татарс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тан некоммерческим организациям, осуществляющим мероприятия, направленные на содействие становлению и развитию местного самоуправления в Республике Татарстан» (с изменениями, внесенными постановлениями Кабинета Министров Республики Татарстан от 02.08.2022 </w:t>
      </w:r>
      <w:hyperlink r:id="rId16" w:tooltip="https://login.consultant.ru/link/?req=doc&amp;base=RLAW363&amp;n=167031&amp;date=16.05.2024&amp;dst=100005&amp;field=134" w:history="1">
        <w:r>
          <w:rPr>
            <w:rFonts w:ascii="Times New Roman" w:hAnsi="Times New Roman" w:eastAsia="Times New Roman" w:cs="Times New Roman"/>
            <w:sz w:val="27"/>
            <w:szCs w:val="27"/>
          </w:rPr>
          <w:t xml:space="preserve">№ 746</w:t>
        </w:r>
      </w:hyperlink>
      <w:r>
        <w:rPr>
          <w:rFonts w:ascii="Times New Roman" w:hAnsi="Times New Roman" w:eastAsia="Times New Roman" w:cs="Times New Roman"/>
          <w:sz w:val="27"/>
          <w:szCs w:val="27"/>
        </w:rPr>
        <w:t xml:space="preserve">, от 29.12.2022 </w:t>
      </w:r>
      <w:hyperlink r:id="rId17" w:tooltip="https://login.consultant.ru/link/?req=doc&amp;base=RLAW363&amp;n=170686&amp;date=16.05.2024&amp;dst=100005&amp;field=134" w:history="1">
        <w:r>
          <w:rPr>
            <w:rFonts w:ascii="Times New Roman" w:hAnsi="Times New Roman" w:eastAsia="Times New Roman" w:cs="Times New Roman"/>
            <w:sz w:val="27"/>
            <w:szCs w:val="27"/>
          </w:rPr>
          <w:t xml:space="preserve">№ 1440</w:t>
        </w:r>
      </w:hyperlink>
      <w:r>
        <w:rPr>
          <w:rFonts w:ascii="Times New Roman" w:hAnsi="Times New Roman" w:eastAsia="Times New Roman" w:cs="Times New Roman"/>
          <w:sz w:val="27"/>
          <w:szCs w:val="27"/>
        </w:rPr>
        <w:t xml:space="preserve">, от 04.02.20</w:t>
      </w:r>
      <w:bookmarkStart w:id="0" w:name="undefined"/>
      <w:r>
        <w:rPr>
          <w:sz w:val="27"/>
          <w:szCs w:val="27"/>
        </w:rPr>
      </w:r>
      <w:bookmarkEnd w:id="0"/>
      <w:r>
        <w:rPr>
          <w:rFonts w:ascii="Times New Roman" w:hAnsi="Times New Roman" w:eastAsia="Times New Roman" w:cs="Times New Roman"/>
          <w:sz w:val="27"/>
          <w:szCs w:val="27"/>
        </w:rPr>
        <w:t xml:space="preserve">23 </w:t>
      </w:r>
      <w:hyperlink r:id="rId18" w:tooltip="https://login.consultant.ru/link/?req=doc&amp;base=RLAW363&amp;n=171697&amp;date=16.05.2024&amp;dst=100005&amp;field=134" w:history="1">
        <w:r>
          <w:rPr>
            <w:rFonts w:ascii="Times New Roman" w:hAnsi="Times New Roman" w:eastAsia="Times New Roman" w:cs="Times New Roman"/>
            <w:sz w:val="27"/>
            <w:szCs w:val="27"/>
          </w:rPr>
          <w:t xml:space="preserve">№ 99</w:t>
        </w:r>
      </w:hyperlink>
      <w:r>
        <w:rPr>
          <w:rFonts w:ascii="Times New Roman" w:hAnsi="Times New Roman" w:eastAsia="Times New Roman" w:cs="Times New Roman"/>
          <w:sz w:val="27"/>
          <w:szCs w:val="27"/>
        </w:rPr>
        <w:t xml:space="preserve">, от 04.03.2024 </w:t>
      </w:r>
      <w:hyperlink r:id="rId19" w:tooltip="https://login.consultant.ru/link/?req=doc&amp;base=RLAW363&amp;n=182026&amp;date=16.05.2024&amp;dst=100005&amp;field=134" w:history="1">
        <w:r>
          <w:rPr>
            <w:rFonts w:ascii="Times New Roman" w:hAnsi="Times New Roman" w:eastAsia="Times New Roman" w:cs="Times New Roman"/>
            <w:sz w:val="27"/>
            <w:szCs w:val="27"/>
          </w:rPr>
          <w:t xml:space="preserve">№ 120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 xml:space="preserve">, от 02.09.2024 № 716, от 12.09.2024 № 762, от 14.01.2025 № 10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) разработан в связи с </w:t>
      </w:r>
      <w:r>
        <w:rPr>
          <w:rFonts w:ascii="Times New Roman" w:hAnsi="Times New Roman" w:eastAsia="Calibri" w:cs="Times New Roman"/>
          <w:sz w:val="27"/>
          <w:szCs w:val="27"/>
        </w:rPr>
        <w:t xml:space="preserve">индексацией заработной платы в соответствии с изменением законодательства Республики Татарстан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на основании подписания Указа Раиса Республики Татарстан № 300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 18.04.2025 «О повышении размеров должностных окладов государственных гражданских служащих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Республики Татарстан и внесении изменений в Указ Президента Республики Татарстан «О денежном содержании государственных гражданских служащих Республики Татарстан»,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а также уточнен размер заработной платы работников категорий «руководители», «советники».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824"/>
        <w:ind w:firstLine="567"/>
        <w:jc w:val="both"/>
        <w:spacing w:before="0" w:after="0" w:line="240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Принятие постановления не потребует дополнительного финансирования за счет средств бюджета Республики Татарстан.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24"/>
        <w:ind w:firstLine="567"/>
        <w:jc w:val="both"/>
        <w:spacing w:before="0" w:after="0" w:line="240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По результатам проведения независимой антикоррупционной экспертизы проекта постановления замечания не поступили.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24"/>
        <w:ind w:firstLine="567"/>
        <w:jc w:val="both"/>
        <w:spacing w:before="0" w:after="0" w:line="240" w:lineRule="auto"/>
        <w:rPr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Необходимость в проведении оценки регулирующего воздействия проекта постановления отсутствует.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before="0" w:after="0"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1134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Mangal">
    <w:panose1 w:val="02040503050203030202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4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24"/>
      <w:ind w:right="77" w:firstLine="0"/>
      <w:jc w:val="center"/>
      <w:spacing w:before="0" w:after="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 w:default="1">
    <w:name w:val="Normal"/>
    <w:qFormat/>
    <w:pPr>
      <w:jc w:val="left"/>
      <w:spacing w:before="0" w:after="160" w:line="259" w:lineRule="auto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paragraph" w:styleId="825">
    <w:name w:val="Heading 1"/>
    <w:basedOn w:val="8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6">
    <w:name w:val="Heading 2"/>
    <w:basedOn w:val="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7">
    <w:name w:val="Heading 3"/>
    <w:basedOn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8">
    <w:name w:val="Heading 4"/>
    <w:basedOn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0">
    <w:name w:val="Heading 6"/>
    <w:basedOn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3">
    <w:name w:val="Heading 9"/>
    <w:basedOn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>
    <w:name w:val="Heading 1 Char"/>
    <w:basedOn w:val="856"/>
    <w:uiPriority w:val="9"/>
    <w:qFormat/>
    <w:rPr>
      <w:rFonts w:ascii="Arial" w:hAnsi="Arial" w:eastAsia="Arial" w:cs="Arial"/>
      <w:sz w:val="40"/>
      <w:szCs w:val="40"/>
    </w:rPr>
  </w:style>
  <w:style w:type="character" w:styleId="835">
    <w:name w:val="Heading 2 Char"/>
    <w:basedOn w:val="856"/>
    <w:uiPriority w:val="9"/>
    <w:qFormat/>
    <w:rPr>
      <w:rFonts w:ascii="Arial" w:hAnsi="Arial" w:eastAsia="Arial" w:cs="Arial"/>
      <w:sz w:val="34"/>
    </w:rPr>
  </w:style>
  <w:style w:type="character" w:styleId="836">
    <w:name w:val="Heading 3 Char"/>
    <w:basedOn w:val="856"/>
    <w:uiPriority w:val="9"/>
    <w:qFormat/>
    <w:rPr>
      <w:rFonts w:ascii="Arial" w:hAnsi="Arial" w:eastAsia="Arial" w:cs="Arial"/>
      <w:sz w:val="30"/>
      <w:szCs w:val="30"/>
    </w:rPr>
  </w:style>
  <w:style w:type="character" w:styleId="837">
    <w:name w:val="Heading 4 Char"/>
    <w:basedOn w:val="85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8">
    <w:name w:val="Heading 5 Char"/>
    <w:basedOn w:val="85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9">
    <w:name w:val="Heading 6 Char"/>
    <w:basedOn w:val="8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0">
    <w:name w:val="Heading 7 Char"/>
    <w:basedOn w:val="85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8 Char"/>
    <w:basedOn w:val="8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2">
    <w:name w:val="Heading 9 Char"/>
    <w:basedOn w:val="85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3">
    <w:name w:val="Title Char"/>
    <w:basedOn w:val="856"/>
    <w:uiPriority w:val="10"/>
    <w:qFormat/>
    <w:rPr>
      <w:sz w:val="48"/>
      <w:szCs w:val="48"/>
    </w:rPr>
  </w:style>
  <w:style w:type="character" w:styleId="844">
    <w:name w:val="Subtitle Char"/>
    <w:basedOn w:val="856"/>
    <w:uiPriority w:val="11"/>
    <w:qFormat/>
    <w:rPr>
      <w:sz w:val="24"/>
      <w:szCs w:val="24"/>
    </w:rPr>
  </w:style>
  <w:style w:type="character" w:styleId="845">
    <w:name w:val="Quote Char"/>
    <w:uiPriority w:val="29"/>
    <w:qFormat/>
    <w:rPr>
      <w:i/>
    </w:rPr>
  </w:style>
  <w:style w:type="character" w:styleId="846">
    <w:name w:val="Intense Quote Char"/>
    <w:uiPriority w:val="30"/>
    <w:qFormat/>
    <w:rPr>
      <w:i/>
    </w:rPr>
  </w:style>
  <w:style w:type="character" w:styleId="847">
    <w:name w:val="Header Char"/>
    <w:basedOn w:val="856"/>
    <w:uiPriority w:val="99"/>
    <w:qFormat/>
  </w:style>
  <w:style w:type="character" w:styleId="848">
    <w:name w:val="Footer Char"/>
    <w:basedOn w:val="856"/>
    <w:uiPriority w:val="99"/>
    <w:qFormat/>
  </w:style>
  <w:style w:type="character" w:styleId="849">
    <w:name w:val="Caption Char"/>
    <w:uiPriority w:val="99"/>
    <w:qFormat/>
  </w:style>
  <w:style w:type="character" w:styleId="850">
    <w:name w:val="Footnote Text Char"/>
    <w:uiPriority w:val="99"/>
    <w:qFormat/>
    <w:rPr>
      <w:sz w:val="18"/>
    </w:rPr>
  </w:style>
  <w:style w:type="character" w:styleId="851">
    <w:name w:val="Символ сноски"/>
    <w:uiPriority w:val="99"/>
    <w:unhideWhenUsed/>
    <w:qFormat/>
    <w:rPr>
      <w:vertAlign w:val="superscript"/>
    </w:rPr>
  </w:style>
  <w:style w:type="character" w:styleId="852">
    <w:name w:val="footnote reference"/>
    <w:rPr>
      <w:vertAlign w:val="superscript"/>
    </w:rPr>
  </w:style>
  <w:style w:type="character" w:styleId="853">
    <w:name w:val="Endnote Text Char"/>
    <w:uiPriority w:val="99"/>
    <w:qFormat/>
    <w:rPr>
      <w:sz w:val="20"/>
    </w:rPr>
  </w:style>
  <w:style w:type="character" w:styleId="85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5">
    <w:name w:val="endnote reference"/>
    <w:rPr>
      <w:vertAlign w:val="superscript"/>
    </w:rPr>
  </w:style>
  <w:style w:type="character" w:styleId="856" w:default="1">
    <w:name w:val="Default Paragraph Font"/>
    <w:uiPriority w:val="1"/>
    <w:semiHidden/>
    <w:unhideWhenUsed/>
    <w:qFormat/>
  </w:style>
  <w:style w:type="character" w:styleId="857" w:customStyle="1">
    <w:name w:val="Текст выноски Знак"/>
    <w:basedOn w:val="856"/>
    <w:uiPriority w:val="99"/>
    <w:semiHidden/>
    <w:qFormat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858">
    <w:name w:val="Hyperlink"/>
    <w:basedOn w:val="856"/>
    <w:uiPriority w:val="99"/>
    <w:unhideWhenUsed/>
    <w:rPr>
      <w:color w:val="0563c1" w:themeColor="hyperlink"/>
      <w:u w:val="single"/>
    </w:rPr>
  </w:style>
  <w:style w:type="character" w:styleId="859">
    <w:name w:val="annotation reference"/>
    <w:basedOn w:val="856"/>
    <w:uiPriority w:val="99"/>
    <w:semiHidden/>
    <w:unhideWhenUsed/>
    <w:qFormat/>
    <w:rPr>
      <w:sz w:val="16"/>
      <w:szCs w:val="16"/>
    </w:rPr>
  </w:style>
  <w:style w:type="character" w:styleId="860" w:customStyle="1">
    <w:name w:val="Текст примечания Знак"/>
    <w:basedOn w:val="856"/>
    <w:uiPriority w:val="99"/>
    <w:semiHidden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61" w:customStyle="1">
    <w:name w:val="Тема примечания Знак"/>
    <w:basedOn w:val="860"/>
    <w:uiPriority w:val="99"/>
    <w:semiHidden/>
    <w:qFormat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styleId="862" w:customStyle="1">
    <w:name w:val="Абзац списка Знак"/>
    <w:uiPriority w:val="99"/>
    <w:qFormat/>
    <w:rPr>
      <w:rFonts w:ascii="Times New Roman" w:hAnsi="Times New Roman" w:eastAsia="Times New Roman" w:cs="Times New Roman"/>
      <w:color w:val="000000"/>
      <w:lang w:eastAsia="ru-RU"/>
    </w:rPr>
  </w:style>
  <w:style w:type="character" w:styleId="863" w:customStyle="1">
    <w:name w:val="Верхний колонтитул Знак"/>
    <w:basedOn w:val="856"/>
    <w:uiPriority w:val="99"/>
    <w:qFormat/>
    <w:rPr>
      <w:rFonts w:ascii="Times New Roman" w:hAnsi="Times New Roman" w:eastAsia="Times New Roman" w:cs="Times New Roman"/>
      <w:color w:val="000000"/>
      <w:lang w:eastAsia="ru-RU"/>
    </w:rPr>
  </w:style>
  <w:style w:type="character" w:styleId="864" w:customStyle="1">
    <w:name w:val="Нижний колонтитул Знак"/>
    <w:basedOn w:val="856"/>
    <w:uiPriority w:val="99"/>
    <w:qFormat/>
    <w:rPr>
      <w:rFonts w:ascii="Times New Roman" w:hAnsi="Times New Roman" w:eastAsia="Times New Roman" w:cs="Times New Roman"/>
      <w:color w:val="000000"/>
      <w:lang w:eastAsia="ru-RU"/>
    </w:rPr>
  </w:style>
  <w:style w:type="paragraph" w:styleId="865">
    <w:name w:val="Заголовок"/>
    <w:basedOn w:val="824"/>
    <w:next w:val="866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66">
    <w:name w:val="Body Text"/>
    <w:basedOn w:val="824"/>
    <w:pPr>
      <w:spacing w:before="0" w:after="140" w:line="276" w:lineRule="auto"/>
    </w:pPr>
  </w:style>
  <w:style w:type="paragraph" w:styleId="867">
    <w:name w:val="List"/>
    <w:basedOn w:val="866"/>
    <w:rPr>
      <w:rFonts w:ascii="PT Astra Serif" w:hAnsi="PT Astra Serif" w:cs="Mangal"/>
    </w:rPr>
  </w:style>
  <w:style w:type="paragraph" w:styleId="868">
    <w:name w:val="Caption"/>
    <w:basedOn w:val="824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69">
    <w:name w:val="Указатель"/>
    <w:basedOn w:val="824"/>
    <w:qFormat/>
    <w:pPr>
      <w:suppressLineNumbers/>
    </w:pPr>
    <w:rPr>
      <w:rFonts w:ascii="PT Astra Serif" w:hAnsi="PT Astra Serif" w:cs="Mangal"/>
    </w:rPr>
  </w:style>
  <w:style w:type="paragraph" w:styleId="870">
    <w:name w:val="Title"/>
    <w:basedOn w:val="82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1">
    <w:name w:val="Subtitle"/>
    <w:basedOn w:val="824"/>
    <w:uiPriority w:val="11"/>
    <w:qFormat/>
    <w:pPr>
      <w:spacing w:before="200" w:after="200"/>
    </w:pPr>
    <w:rPr>
      <w:sz w:val="24"/>
      <w:szCs w:val="24"/>
    </w:rPr>
  </w:style>
  <w:style w:type="paragraph" w:styleId="872">
    <w:name w:val="Quote"/>
    <w:basedOn w:val="824"/>
    <w:uiPriority w:val="29"/>
    <w:qFormat/>
    <w:pPr>
      <w:ind w:left="720" w:right="720" w:firstLine="0"/>
    </w:pPr>
    <w:rPr>
      <w:i/>
    </w:rPr>
  </w:style>
  <w:style w:type="paragraph" w:styleId="873">
    <w:name w:val="Intense Quote"/>
    <w:basedOn w:val="82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4">
    <w:name w:val="footnote text"/>
    <w:basedOn w:val="82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endnote text"/>
    <w:basedOn w:val="82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6">
    <w:name w:val="toc 1"/>
    <w:basedOn w:val="824"/>
    <w:uiPriority w:val="39"/>
    <w:unhideWhenUsed/>
    <w:pPr>
      <w:ind w:left="0" w:right="0" w:firstLine="0"/>
      <w:spacing w:before="0" w:after="57"/>
    </w:pPr>
  </w:style>
  <w:style w:type="paragraph" w:styleId="877">
    <w:name w:val="toc 2"/>
    <w:basedOn w:val="824"/>
    <w:uiPriority w:val="39"/>
    <w:unhideWhenUsed/>
    <w:pPr>
      <w:ind w:left="283" w:right="0" w:firstLine="0"/>
      <w:spacing w:before="0" w:after="57"/>
    </w:pPr>
  </w:style>
  <w:style w:type="paragraph" w:styleId="878">
    <w:name w:val="toc 3"/>
    <w:basedOn w:val="824"/>
    <w:uiPriority w:val="39"/>
    <w:unhideWhenUsed/>
    <w:pPr>
      <w:ind w:left="567" w:right="0" w:firstLine="0"/>
      <w:spacing w:before="0" w:after="57"/>
    </w:pPr>
  </w:style>
  <w:style w:type="paragraph" w:styleId="879">
    <w:name w:val="toc 4"/>
    <w:basedOn w:val="824"/>
    <w:uiPriority w:val="39"/>
    <w:unhideWhenUsed/>
    <w:pPr>
      <w:ind w:left="850" w:right="0" w:firstLine="0"/>
      <w:spacing w:before="0" w:after="57"/>
    </w:pPr>
  </w:style>
  <w:style w:type="paragraph" w:styleId="880">
    <w:name w:val="toc 5"/>
    <w:basedOn w:val="824"/>
    <w:uiPriority w:val="39"/>
    <w:unhideWhenUsed/>
    <w:pPr>
      <w:ind w:left="1134" w:right="0" w:firstLine="0"/>
      <w:spacing w:before="0" w:after="57"/>
    </w:pPr>
  </w:style>
  <w:style w:type="paragraph" w:styleId="881">
    <w:name w:val="toc 6"/>
    <w:basedOn w:val="824"/>
    <w:uiPriority w:val="39"/>
    <w:unhideWhenUsed/>
    <w:pPr>
      <w:ind w:left="1417" w:right="0" w:firstLine="0"/>
      <w:spacing w:before="0" w:after="57"/>
    </w:pPr>
  </w:style>
  <w:style w:type="paragraph" w:styleId="882">
    <w:name w:val="toc 7"/>
    <w:basedOn w:val="824"/>
    <w:uiPriority w:val="39"/>
    <w:unhideWhenUsed/>
    <w:pPr>
      <w:ind w:left="1701" w:right="0" w:firstLine="0"/>
      <w:spacing w:before="0" w:after="57"/>
    </w:pPr>
  </w:style>
  <w:style w:type="paragraph" w:styleId="883">
    <w:name w:val="toc 8"/>
    <w:basedOn w:val="824"/>
    <w:uiPriority w:val="39"/>
    <w:unhideWhenUsed/>
    <w:pPr>
      <w:ind w:left="1984" w:right="0" w:firstLine="0"/>
      <w:spacing w:before="0" w:after="57"/>
    </w:pPr>
  </w:style>
  <w:style w:type="paragraph" w:styleId="884">
    <w:name w:val="toc 9"/>
    <w:basedOn w:val="824"/>
    <w:uiPriority w:val="39"/>
    <w:unhideWhenUsed/>
    <w:pPr>
      <w:ind w:left="2268" w:right="0" w:firstLine="0"/>
      <w:spacing w:before="0" w:after="57"/>
    </w:pPr>
  </w:style>
  <w:style w:type="paragraph" w:styleId="885">
    <w:name w:val="Index Heading"/>
    <w:basedOn w:val="865"/>
  </w:style>
  <w:style w:type="paragraph" w:styleId="88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87">
    <w:name w:val="table of figures"/>
    <w:basedOn w:val="824"/>
    <w:uiPriority w:val="99"/>
    <w:unhideWhenUsed/>
    <w:qFormat/>
    <w:pPr>
      <w:spacing w:before="0" w:after="0" w:afterAutospacing="0"/>
    </w:pPr>
  </w:style>
  <w:style w:type="paragraph" w:styleId="888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889">
    <w:name w:val="List Paragraph"/>
    <w:basedOn w:val="824"/>
    <w:uiPriority w:val="99"/>
    <w:qFormat/>
    <w:pPr>
      <w:contextualSpacing/>
      <w:ind w:left="720" w:firstLine="0"/>
      <w:spacing w:before="0" w:after="160"/>
    </w:pPr>
  </w:style>
  <w:style w:type="paragraph" w:styleId="890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91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892">
    <w:name w:val="Balloon Text"/>
    <w:basedOn w:val="82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9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4">
    <w:name w:val="annotation text"/>
    <w:basedOn w:val="82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95">
    <w:name w:val="annotation subject"/>
    <w:basedOn w:val="894"/>
    <w:uiPriority w:val="99"/>
    <w:semiHidden/>
    <w:unhideWhenUsed/>
    <w:qFormat/>
    <w:rPr>
      <w:b/>
      <w:bCs/>
    </w:rPr>
  </w:style>
  <w:style w:type="paragraph" w:styleId="896">
    <w:name w:val="Normal (Web)"/>
    <w:basedOn w:val="824"/>
    <w:uiPriority w:val="99"/>
    <w:unhideWhenUsed/>
    <w:qFormat/>
    <w:pPr>
      <w:spacing w:beforeAutospacing="1" w:afterAutospacing="1" w:line="240" w:lineRule="auto"/>
    </w:pPr>
    <w:rPr>
      <w:color w:val="auto"/>
      <w:sz w:val="24"/>
      <w:szCs w:val="24"/>
    </w:rPr>
  </w:style>
  <w:style w:type="paragraph" w:styleId="897">
    <w:name w:val="Колонтитул"/>
    <w:basedOn w:val="824"/>
    <w:qFormat/>
  </w:style>
  <w:style w:type="paragraph" w:styleId="898">
    <w:name w:val="Header"/>
    <w:basedOn w:val="82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9">
    <w:name w:val="Footer"/>
    <w:basedOn w:val="82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900" w:default="1">
    <w:name w:val="No List"/>
    <w:uiPriority w:val="99"/>
    <w:semiHidden/>
    <w:unhideWhenUsed/>
    <w:qFormat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RLAW363&amp;n=167031&amp;date=16.05.2024&amp;dst=100005&amp;field=134" TargetMode="External"/><Relationship Id="rId12" Type="http://schemas.openxmlformats.org/officeDocument/2006/relationships/hyperlink" Target="https://login.consultant.ru/link/?req=doc&amp;base=RLAW363&amp;n=170686&amp;date=16.05.2024&amp;dst=100005&amp;field=134" TargetMode="External"/><Relationship Id="rId13" Type="http://schemas.openxmlformats.org/officeDocument/2006/relationships/hyperlink" Target="https://login.consultant.ru/link/?req=doc&amp;base=RLAW363&amp;n=171697&amp;date=16.05.2024&amp;dst=100005&amp;field=134" TargetMode="External"/><Relationship Id="rId14" Type="http://schemas.openxmlformats.org/officeDocument/2006/relationships/hyperlink" Target="https://login.consultant.ru/link/?req=doc&amp;base=RLAW363&amp;n=182026&amp;date=16.05.2024&amp;dst=100005&amp;field=134" TargetMode="External"/><Relationship Id="rId15" Type="http://schemas.openxmlformats.org/officeDocument/2006/relationships/hyperlink" Target="file:///opt/r7-office/desktopeditors/editors/web-apps/apps/documenteditor/main/index.html?_dc=0&amp;lang=ru-RU&amp;frameEditorId=placeholder&amp;parentOrigin=file://#P88" TargetMode="External"/><Relationship Id="rId16" Type="http://schemas.openxmlformats.org/officeDocument/2006/relationships/hyperlink" Target="https://login.consultant.ru/link/?req=doc&amp;base=RLAW363&amp;n=167031&amp;date=16.05.2024&amp;dst=100005&amp;field=134" TargetMode="External"/><Relationship Id="rId17" Type="http://schemas.openxmlformats.org/officeDocument/2006/relationships/hyperlink" Target="https://login.consultant.ru/link/?req=doc&amp;base=RLAW363&amp;n=170686&amp;date=16.05.2024&amp;dst=100005&amp;field=134" TargetMode="External"/><Relationship Id="rId18" Type="http://schemas.openxmlformats.org/officeDocument/2006/relationships/hyperlink" Target="https://login.consultant.ru/link/?req=doc&amp;base=RLAW363&amp;n=171697&amp;date=16.05.2024&amp;dst=100005&amp;field=134" TargetMode="External"/><Relationship Id="rId19" Type="http://schemas.openxmlformats.org/officeDocument/2006/relationships/hyperlink" Target="https://login.consultant.ru/link/?req=doc&amp;base=RLAW363&amp;n=182026&amp;date=16.05.2024&amp;dst=10000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C079-BCE8-4749-89C7-470207D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Марина Николаевна</dc:creator>
  <dc:description/>
  <dc:language>ru-RU</dc:language>
  <cp:revision>25</cp:revision>
  <dcterms:created xsi:type="dcterms:W3CDTF">2025-06-24T07:40:00Z</dcterms:created>
  <dcterms:modified xsi:type="dcterms:W3CDTF">2025-07-23T15:26:20Z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