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ind w:left="0" w:right="0" w:firstLine="0"/>
        <w:jc w:val="right"/>
        <w:spacing w:before="0" w:after="0" w:line="240" w:lineRule="auto"/>
        <w:widowControl w:val="off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 Р О Е К Т</w:t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right="4706"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76"/>
        <w:ind w:left="0" w:right="4961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tooltip="#P41" w:anchor="P41" w:history="1">
        <w:r>
          <w:rPr>
            <w:rFonts w:ascii="Times New Roman" w:hAnsi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/>
          <w:sz w:val="28"/>
          <w:szCs w:val="28"/>
        </w:rPr>
        <w:t xml:space="preserve">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от 05.07.2021 </w:t>
        <w:br/>
        <w:t xml:space="preserve">№ 545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ежбюджетных трансфертов из бюджета Республики Татарстан, Положения </w:t>
        <w:br/>
        <w:t xml:space="preserve">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</w:t>
        <w:br/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676"/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 Министров Республики Татарстан 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w:tooltip="#P41" w:anchor="P41" w:history="1">
        <w:r>
          <w:rPr>
            <w:rFonts w:ascii="Times New Roman" w:hAnsi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/>
          <w:sz w:val="28"/>
          <w:szCs w:val="28"/>
        </w:rPr>
        <w:t xml:space="preserve">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от 05.07.2021 № 545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</w:t>
        <w:br/>
        <w:t xml:space="preserve">о конкурсной комиссии по ра</w:t>
      </w:r>
      <w:r>
        <w:rPr>
          <w:rFonts w:ascii="Times New Roman" w:hAnsi="Times New Roman"/>
          <w:sz w:val="28"/>
          <w:szCs w:val="28"/>
        </w:rPr>
        <w:t xml:space="preserve">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 (с изменениями, внесенными постановлениями Кабинета Министров Республики Татарстан 09.08.2022 </w:t>
      </w:r>
      <w:hyperlink r:id="rId10" w:tooltip="https://login.consultant.ru/link/?req=doc&amp;base=RLAW363&amp;n=167344&amp;dst=100025&amp;field=134&amp;date=30.06.2025" w:history="1">
        <w:r>
          <w:rPr>
            <w:rFonts w:ascii="Times New Roman" w:hAnsi="Times New Roman"/>
            <w:sz w:val="28"/>
            <w:szCs w:val="28"/>
          </w:rPr>
          <w:t xml:space="preserve">№ 783</w:t>
        </w:r>
      </w:hyperlink>
      <w:r>
        <w:rPr>
          <w:rFonts w:ascii="Times New Roman" w:hAnsi="Times New Roman"/>
          <w:sz w:val="28"/>
          <w:szCs w:val="28"/>
        </w:rPr>
        <w:t xml:space="preserve">, от 30.03.2023 </w:t>
      </w:r>
      <w:hyperlink r:id="rId11" w:tooltip="https://login.consultant.ru/link/?req=doc&amp;base=RLAW363&amp;n=173404&amp;dst=100013&amp;field=134&amp;date=30.06.2025" w:history="1">
        <w:r>
          <w:rPr>
            <w:rFonts w:ascii="Times New Roman" w:hAnsi="Times New Roman"/>
            <w:sz w:val="28"/>
            <w:szCs w:val="28"/>
          </w:rPr>
          <w:t xml:space="preserve">№ 380</w:t>
        </w:r>
      </w:hyperlink>
      <w:r>
        <w:rPr>
          <w:rFonts w:ascii="Times New Roman" w:hAnsi="Times New Roman"/>
          <w:sz w:val="28"/>
          <w:szCs w:val="28"/>
        </w:rPr>
        <w:t xml:space="preserve">, от 01.11.2023 №</w:t>
      </w:r>
      <w:hyperlink r:id="rId12" w:tooltip="https://login.consultant.ru/link/?req=doc&amp;base=RLAW363&amp;n=178688&amp;dst=100006&amp;field=134&amp;date=30.06.2025" w:history="1">
        <w:r>
          <w:rPr>
            <w:rFonts w:ascii="Times New Roman" w:hAnsi="Times New Roman"/>
            <w:sz w:val="28"/>
            <w:szCs w:val="28"/>
          </w:rPr>
          <w:t xml:space="preserve"> 1387</w:t>
        </w:r>
      </w:hyperlink>
      <w:r>
        <w:rPr>
          <w:rFonts w:ascii="Times New Roman" w:hAnsi="Times New Roman"/>
          <w:sz w:val="28"/>
          <w:szCs w:val="28"/>
        </w:rPr>
        <w:t xml:space="preserve">), следующие изменения: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пункте 1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Федеральным </w:t>
      </w:r>
      <w:hyperlink r:id="rId13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от 6 октября 2003 года № 131-ФЗ «Об общих принципах организации местного самоуправления </w:t>
        <w:br/>
        <w:t xml:space="preserve">в Российской Федерации» 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Федеральным законом от 20 марта 2025 года № 33-ФЗ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пункте 2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слова «вопросов местного значения или иным вопросам» заменить словами «</w:t>
      </w:r>
      <w:r>
        <w:rPr>
          <w:rFonts w:ascii="Times New Roman" w:hAnsi="Times New Roman"/>
          <w:sz w:val="28"/>
          <w:szCs w:val="28"/>
          <w:highlight w:val="white"/>
        </w:rPr>
        <w:t xml:space="preserve">вопросов непосредственного обеспечен</w:t>
      </w:r>
      <w:r>
        <w:rPr>
          <w:rFonts w:ascii="Times New Roman" w:hAnsi="Times New Roman"/>
          <w:sz w:val="28"/>
          <w:szCs w:val="28"/>
          <w:highlight w:val="white"/>
        </w:rPr>
        <w:t xml:space="preserve">ия жизнедеятельности населения ил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иных вопросов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абзаце втором пункта 6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слова «группа численностью» заменить словами «группа лиц численностью»,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16-летнего</w:t>
      </w:r>
      <w:r>
        <w:rPr>
          <w:rFonts w:ascii="Times New Roman" w:hAnsi="Times New Roman"/>
          <w:sz w:val="28"/>
          <w:szCs w:val="28"/>
          <w:highlight w:val="white"/>
        </w:rPr>
        <w:t xml:space="preserve"> возраста» заменить словами </w:t>
        <w:br/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18-летнего возраста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абзаце первом пункта 11 слова «(далее - исполнительный комитет)» заменить словами «(далее – Исполнительный комитет)»;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firstLine="708"/>
        <w:jc w:val="both"/>
        <w:spacing w:before="0"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№ 1 к указанному Порядку изложить в новой редакции (прилагается).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708"/>
        <w:jc w:val="both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Установить, что действие настоящего постановления распространяется </w:t>
        <w:br/>
        <w:t xml:space="preserve">на правоотношения, возникшие с 19 июня 2025 года.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6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А.В. Песошин</w:t>
      </w:r>
      <w:r>
        <w:br w:type="page" w:clear="all"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741"/>
        <w:numPr>
          <w:ilvl w:val="0"/>
          <w:numId w:val="0"/>
        </w:numPr>
        <w:ind w:left="5386" w:right="0" w:firstLine="0"/>
        <w:jc w:val="left"/>
        <w:spacing w:before="0" w:beforeAutospacing="0" w:after="0" w:afterAutospacing="0"/>
        <w:rPr>
          <w:rFonts w:ascii="Times New Roman" w:hAnsi="Times New Roman" w:eastAsia="Times New Roman" w:cs="Times New Roman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№ 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 Порядку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Республике Татарстан конкурсного отбора инициа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тивных проектов,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выдвигаемых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финансовой поддержки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 бюджета Республики Татарстан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41"/>
        <w:ind w:left="5386" w:right="0" w:firstLine="0"/>
        <w:jc w:val="left"/>
        <w:spacing w:before="0" w:beforeAutospacing="0"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(в редакции постановления Кабинета Министров Республики Татарстан </w:t>
        <w:br/>
        <w:t xml:space="preserve">от _________________ № _______)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41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jc w:val="right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Форма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1"/>
        <w:jc w:val="cent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41"/>
        <w:jc w:val="both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pStyle w:val="741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рассмотреть инициативный проект, выдвигаемый для получения финансовой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держки за счет межбюджетных трансфертов из бюджета Республики Татарстан </w:t>
        <w:br/>
        <w:t xml:space="preserve">(далее – инициативный проект) _________________________________, предполагаемый </w:t>
        <w:br/>
        <w:t xml:space="preserve">к реализации на территории ___________________________ муниципального образования Республики Татарстан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20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3"/>
        <w:gridCol w:w="6918"/>
        <w:gridCol w:w="2694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по инициативному проекту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муниципального образования Республики </w:t>
              <w:br/>
              <w:t xml:space="preserve">Татарстан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Инициатор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Описание инициативного проекта (описание проблемы </w:t>
              <w:br/>
              <w:t xml:space="preserve">и обоснование ее актуальности (остроты)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Обоснование предложений по решению указанной проблемы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Стоимость инициативного проекта, в том числе за счет средств местного и регионального бюджетов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и задача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Описание мероприятий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ожидаемых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Группы населения, которые будут пользоваться результатами инициативного проекта (при возможности определить количество человек - прямых благополучателей)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pStyle w:val="741"/>
              <w:jc w:val="center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textDirection w:val="lrTb"/>
            <w:noWrap w:val="false"/>
          </w:tcPr>
          <w:p>
            <w:pPr>
              <w:pStyle w:val="741"/>
              <w:jc w:val="both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Сроки реализации инициативного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741"/>
              <w:spacing w:before="0" w:beforeAutospacing="0" w:after="0" w:afterAutospacing="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ind w:firstLine="708"/>
        <w:jc w:val="both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tbl>
      <w:tblPr>
        <w:tblStyle w:val="751"/>
        <w:tblW w:w="102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"/>
        <w:gridCol w:w="2612"/>
        <w:gridCol w:w="338"/>
        <w:gridCol w:w="311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676"/>
              <w:ind w:left="0" w:right="0" w:firstLine="0"/>
              <w:jc w:val="both"/>
              <w:spacing w:before="0" w:after="0"/>
              <w:shd w:val="clear" w:color="ffffff" w:fill="ffffff"/>
              <w:widowControl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612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 w:bidi="ar-SA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676"/>
              <w:jc w:val="left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2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 w:bidi="ar-SA"/>
              </w:rPr>
              <w:t xml:space="preserve">(подпись)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676"/>
              <w:jc w:val="center"/>
              <w:spacing w:before="0" w:after="0" w:line="228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 w:bidi="ar-SA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</w:tbl>
    <w:p>
      <w:pPr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76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ОЯСНИТЕЛЬНАЯ ЗАПИСКА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76"/>
        <w:ind w:right="-1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right="-1" w:firstLine="0"/>
        <w:jc w:val="center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 внесении изменений в </w:t>
      </w:r>
      <w:hyperlink w:tooltip="ПОРЯДОК" w:anchor="P41" w:history="1">
        <w:r>
          <w:rPr>
            <w:rFonts w:ascii="Times New Roman" w:hAnsi="Times New Roman" w:eastAsia="Times New Roman"/>
            <w:b w:val="0"/>
            <w:bCs w:val="0"/>
            <w:sz w:val="28"/>
            <w:szCs w:val="28"/>
            <w:lang w:eastAsia="ru-RU"/>
          </w:rPr>
          <w:t xml:space="preserve">Порядок</w:t>
        </w:r>
      </w:hyperlink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проведения в Республике Татарстан конкурсного отбора инициативных проектов, выдвигаемых для получения финансовой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поддержки за счет межбюджетных трансфертов из бюджета Республики Татарстан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</w:t>
        <w:br/>
        <w:t xml:space="preserve">от 05.07.2021 № 545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о конкурсной комиссии по рассмотре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76"/>
        <w:ind w:firstLine="720"/>
        <w:jc w:val="both"/>
        <w:spacing w:before="0" w:after="0" w:line="312" w:lineRule="auto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Calibri" w:hAnsi="Calibri" w:eastAsia="Times New Roman" w:cs="Times New Roman"/>
          <w:sz w:val="28"/>
          <w:szCs w:val="28"/>
        </w:rPr>
      </w:r>
      <w:r>
        <w:rPr>
          <w:rFonts w:ascii="Calibri" w:hAnsi="Calibri" w:eastAsia="Times New Roman" w:cs="Times New Roman"/>
          <w:sz w:val="28"/>
          <w:szCs w:val="28"/>
        </w:rPr>
      </w:r>
    </w:p>
    <w:p>
      <w:pPr>
        <w:pStyle w:val="676"/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br/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 внесении изменений в </w:t>
      </w:r>
      <w:hyperlink w:tooltip="ПОРЯДОК" w:anchor="P41" w:history="1">
        <w:r>
          <w:rPr>
            <w:rFonts w:ascii="Times New Roman" w:hAnsi="Times New Roman" w:eastAsia="Times New Roman"/>
            <w:b w:val="0"/>
            <w:bCs w:val="0"/>
            <w:sz w:val="28"/>
            <w:szCs w:val="28"/>
            <w:lang w:eastAsia="ru-RU"/>
          </w:rPr>
          <w:t xml:space="preserve">Порядок</w:t>
        </w:r>
      </w:hyperlink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проведения в Республике Татарстан конкурсного отбора инициативных проектов, выдвигаемых для получения финансовой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поддержки за счет межбюджетных трансфертов из бюджета Республики Татарстан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утвержденный постановлением Кабинета Министров Республики Татарстан </w:t>
        <w:br/>
        <w:t xml:space="preserve">от 05.07.2021 № 545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Порядка проведения в Республике Татарстан конкурсного отбора инициативных проектов, выдвигаемых для получения финансово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й поддержки за счет межбюджетных трансфертов из бюджета Республики Татарстан, Положения о конкурсной ко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миссии по рассмотре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</w:t>
      </w: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(далее – 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проект ПКМ РТ</w:t>
      </w:r>
      <w:r>
        <w:rPr>
          <w:rFonts w:ascii="Times New Roman" w:hAnsi="Times New Roman"/>
          <w:sz w:val="28"/>
          <w:szCs w:val="28"/>
          <w:highlight w:val="white"/>
          <w:shd w:val="clear" w:color="auto" w:fill="auto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азработан в целях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приведения положения вышеуказанного Порядка в соответствии со статьей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auto"/>
          <w:lang w:eastAsia="ru-RU"/>
        </w:rPr>
        <w:t xml:space="preserve">49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Федерального закона от 20.03.2025 № 33-ФЗ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«Об общих принципах организации местного самоуправления </w:t>
        <w:br/>
        <w:t xml:space="preserve">в единой системе публичной власти» (далее –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Федеральный закон № 33-ФЗ).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Вышеуказанным проектом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ПКМ РТ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вносятся изменения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пункт 1 Порядка, </w:t>
        <w:br/>
        <w:t xml:space="preserve">в котором сделана ссылка на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Федеральный закон № 33-ФЗ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вместо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Федерального </w:t>
      </w:r>
      <w:hyperlink r:id="rId14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а также пункт 6 Порядка, согласно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которого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актуализированы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цели прове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дения конкурсного отбора инициативных проектов, а также возраст заявителя (участника) из числа лиц инициативной группы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что предусмотрено пунктом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статьи 49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33-ФЗ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положениями, предусмотренными пунктом 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статьи 49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33-ФЗ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пункт 2 Порядка изложен в новой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Принятие данного проекта ПКМ РТ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По результатам проведения независимой антикоррупционной экспертизы проекта ПКМ РТ замечания не поступили.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</w:p>
    <w:p>
      <w:pPr>
        <w:ind w:right="-1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lang w:eastAsia="ru-RU"/>
        </w:rPr>
        <w:t xml:space="preserve">Необходимость в проведении оценки регулирующего воздействия проекта ПКМ РТ отсутствует.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14:ligatures w14:val="none"/>
        </w:rPr>
      </w:r>
    </w:p>
    <w:p>
      <w:pPr>
        <w:pStyle w:val="676"/>
        <w:spacing w:before="0"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567" w:bottom="539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Mangal">
    <w:panose1 w:val="02040503050203030202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40"/>
      <w:jc w:val="center"/>
      <w:rPr>
        <w:sz w:val="28"/>
        <w:szCs w:val="24"/>
      </w:rPr>
    </w:pPr>
    <w:r>
      <w:rPr>
        <w:sz w:val="28"/>
        <w:szCs w:val="24"/>
      </w:rPr>
    </w:r>
    <w:r>
      <w:rPr>
        <w:sz w:val="28"/>
        <w:szCs w:val="24"/>
      </w:rPr>
    </w:r>
    <w:r>
      <w:rPr>
        <w:sz w:val="28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77">
    <w:name w:val="Heading 1"/>
    <w:basedOn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6"/>
    <w:uiPriority w:val="10"/>
    <w:qFormat/>
    <w:rPr>
      <w:sz w:val="48"/>
      <w:szCs w:val="48"/>
    </w:rPr>
  </w:style>
  <w:style w:type="character" w:styleId="697" w:customStyle="1">
    <w:name w:val="Subtitle Char"/>
    <w:basedOn w:val="686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86"/>
    <w:uiPriority w:val="99"/>
    <w:qFormat/>
  </w:style>
  <w:style w:type="character" w:styleId="701" w:customStyle="1">
    <w:name w:val="Footer Char"/>
    <w:basedOn w:val="686"/>
    <w:uiPriority w:val="99"/>
    <w:qFormat/>
  </w:style>
  <w:style w:type="character" w:styleId="702" w:customStyle="1">
    <w:name w:val="Caption Char"/>
    <w:uiPriority w:val="99"/>
    <w:qFormat/>
  </w:style>
  <w:style w:type="character" w:styleId="703" w:customStyle="1">
    <w:name w:val="Footnote Text Char"/>
    <w:uiPriority w:val="99"/>
    <w:qFormat/>
    <w:rPr>
      <w:sz w:val="18"/>
    </w:rPr>
  </w:style>
  <w:style w:type="character" w:styleId="704" w:customStyle="1">
    <w:name w:val="Символ сноски"/>
    <w:uiPriority w:val="99"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Endnote Text Char"/>
    <w:uiPriority w:val="99"/>
    <w:qFormat/>
    <w:rPr>
      <w:sz w:val="20"/>
    </w:rPr>
  </w:style>
  <w:style w:type="character" w:styleId="70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8">
    <w:name w:val="endnote reference"/>
    <w:rPr>
      <w:vertAlign w:val="superscript"/>
    </w:rPr>
  </w:style>
  <w:style w:type="character" w:styleId="709" w:customStyle="1">
    <w:name w:val="Верхний колонтитул Знак"/>
    <w:basedOn w:val="686"/>
    <w:uiPriority w:val="99"/>
    <w:qFormat/>
  </w:style>
  <w:style w:type="character" w:styleId="710">
    <w:name w:val="Hyperlink"/>
    <w:uiPriority w:val="99"/>
    <w:unhideWhenUsed/>
    <w:rPr>
      <w:color w:val="0563c1"/>
      <w:u w:val="single"/>
    </w:rPr>
  </w:style>
  <w:style w:type="character" w:styleId="711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712" w:customStyle="1">
    <w:name w:val="Нижний колонтитул Знак"/>
    <w:basedOn w:val="686"/>
    <w:uiPriority w:val="99"/>
    <w:qFormat/>
  </w:style>
  <w:style w:type="character" w:styleId="713">
    <w:name w:val="Placeholder Text"/>
    <w:basedOn w:val="686"/>
    <w:uiPriority w:val="99"/>
    <w:semiHidden/>
    <w:qFormat/>
    <w:rPr>
      <w:color w:val="808080"/>
    </w:rPr>
  </w:style>
  <w:style w:type="character" w:styleId="714">
    <w:name w:val="Emphasis"/>
    <w:basedOn w:val="686"/>
    <w:uiPriority w:val="20"/>
    <w:qFormat/>
    <w:rPr>
      <w:i/>
      <w:iCs/>
    </w:rPr>
  </w:style>
  <w:style w:type="paragraph" w:styleId="715">
    <w:name w:val="Заголовок"/>
    <w:basedOn w:val="676"/>
    <w:next w:val="71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716">
    <w:name w:val="Body Text"/>
    <w:basedOn w:val="676"/>
    <w:pPr>
      <w:spacing w:before="0" w:after="140" w:line="276" w:lineRule="auto"/>
    </w:pPr>
  </w:style>
  <w:style w:type="paragraph" w:styleId="717">
    <w:name w:val="List"/>
    <w:basedOn w:val="716"/>
    <w:rPr>
      <w:rFonts w:ascii="PT Astra Serif" w:hAnsi="PT Astra Serif" w:cs="Noto Sans Devanagari"/>
    </w:rPr>
  </w:style>
  <w:style w:type="paragraph" w:styleId="718">
    <w:name w:val="Caption"/>
    <w:basedOn w:val="67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19">
    <w:name w:val="Указатель"/>
    <w:basedOn w:val="676"/>
    <w:qFormat/>
    <w:pPr>
      <w:suppressLineNumbers/>
    </w:pPr>
    <w:rPr>
      <w:rFonts w:ascii="PT Astra Serif" w:hAnsi="PT Astra Serif" w:cs="Mangal"/>
    </w:rPr>
  </w:style>
  <w:style w:type="paragraph" w:styleId="720">
    <w:name w:val="Title"/>
    <w:basedOn w:val="676"/>
    <w:next w:val="71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1">
    <w:name w:val="index heading"/>
    <w:basedOn w:val="720"/>
    <w:qFormat/>
  </w:style>
  <w:style w:type="paragraph" w:styleId="722">
    <w:name w:val="Subtitle"/>
    <w:basedOn w:val="676"/>
    <w:uiPriority w:val="11"/>
    <w:qFormat/>
    <w:pPr>
      <w:spacing w:before="200" w:after="200"/>
    </w:pPr>
    <w:rPr>
      <w:sz w:val="24"/>
      <w:szCs w:val="24"/>
    </w:rPr>
  </w:style>
  <w:style w:type="paragraph" w:styleId="723">
    <w:name w:val="Quote"/>
    <w:basedOn w:val="676"/>
    <w:uiPriority w:val="29"/>
    <w:qFormat/>
    <w:pPr>
      <w:ind w:left="720" w:right="720" w:firstLine="0"/>
    </w:pPr>
    <w:rPr>
      <w:i/>
    </w:rPr>
  </w:style>
  <w:style w:type="paragraph" w:styleId="724">
    <w:name w:val="Intense Quote"/>
    <w:basedOn w:val="67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5">
    <w:name w:val="footnote text"/>
    <w:basedOn w:val="67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6">
    <w:name w:val="endnote text"/>
    <w:basedOn w:val="67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7">
    <w:name w:val="toc 1"/>
    <w:basedOn w:val="676"/>
    <w:uiPriority w:val="39"/>
    <w:unhideWhenUsed/>
    <w:pPr>
      <w:spacing w:before="0" w:after="57"/>
    </w:pPr>
  </w:style>
  <w:style w:type="paragraph" w:styleId="728">
    <w:name w:val="toc 2"/>
    <w:basedOn w:val="676"/>
    <w:uiPriority w:val="39"/>
    <w:unhideWhenUsed/>
    <w:pPr>
      <w:ind w:left="283" w:firstLine="0"/>
      <w:spacing w:before="0" w:after="57"/>
    </w:pPr>
  </w:style>
  <w:style w:type="paragraph" w:styleId="729">
    <w:name w:val="toc 3"/>
    <w:basedOn w:val="676"/>
    <w:uiPriority w:val="39"/>
    <w:unhideWhenUsed/>
    <w:pPr>
      <w:ind w:left="567" w:firstLine="0"/>
      <w:spacing w:before="0" w:after="57"/>
    </w:pPr>
  </w:style>
  <w:style w:type="paragraph" w:styleId="730">
    <w:name w:val="toc 4"/>
    <w:basedOn w:val="676"/>
    <w:uiPriority w:val="39"/>
    <w:unhideWhenUsed/>
    <w:pPr>
      <w:ind w:left="850" w:firstLine="0"/>
      <w:spacing w:before="0" w:after="57"/>
    </w:pPr>
  </w:style>
  <w:style w:type="paragraph" w:styleId="731">
    <w:name w:val="toc 5"/>
    <w:basedOn w:val="676"/>
    <w:uiPriority w:val="39"/>
    <w:unhideWhenUsed/>
    <w:pPr>
      <w:ind w:left="1134" w:firstLine="0"/>
      <w:spacing w:before="0" w:after="57"/>
    </w:pPr>
  </w:style>
  <w:style w:type="paragraph" w:styleId="732">
    <w:name w:val="toc 6"/>
    <w:basedOn w:val="676"/>
    <w:uiPriority w:val="39"/>
    <w:unhideWhenUsed/>
    <w:pPr>
      <w:ind w:left="1417" w:firstLine="0"/>
      <w:spacing w:before="0" w:after="57"/>
    </w:pPr>
  </w:style>
  <w:style w:type="paragraph" w:styleId="733">
    <w:name w:val="toc 7"/>
    <w:basedOn w:val="676"/>
    <w:uiPriority w:val="39"/>
    <w:unhideWhenUsed/>
    <w:pPr>
      <w:ind w:left="1701" w:firstLine="0"/>
      <w:spacing w:before="0" w:after="57"/>
    </w:pPr>
  </w:style>
  <w:style w:type="paragraph" w:styleId="734">
    <w:name w:val="toc 8"/>
    <w:basedOn w:val="676"/>
    <w:uiPriority w:val="39"/>
    <w:unhideWhenUsed/>
    <w:pPr>
      <w:ind w:left="1984" w:firstLine="0"/>
      <w:spacing w:before="0" w:after="57"/>
    </w:pPr>
  </w:style>
  <w:style w:type="paragraph" w:styleId="735">
    <w:name w:val="toc 9"/>
    <w:basedOn w:val="676"/>
    <w:uiPriority w:val="39"/>
    <w:unhideWhenUsed/>
    <w:pPr>
      <w:ind w:left="2268" w:firstLine="0"/>
      <w:spacing w:before="0" w:after="57"/>
    </w:pPr>
  </w:style>
  <w:style w:type="paragraph" w:styleId="736">
    <w:name w:val="Index Heading"/>
    <w:basedOn w:val="715"/>
  </w:style>
  <w:style w:type="paragraph" w:styleId="73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738">
    <w:name w:val="table of figures"/>
    <w:basedOn w:val="676"/>
    <w:uiPriority w:val="99"/>
    <w:unhideWhenUsed/>
    <w:qFormat/>
    <w:pPr>
      <w:spacing w:before="0" w:after="0"/>
    </w:pPr>
  </w:style>
  <w:style w:type="paragraph" w:styleId="739" w:customStyle="1">
    <w:name w:val="Колонтитул"/>
    <w:basedOn w:val="676"/>
    <w:qFormat/>
  </w:style>
  <w:style w:type="paragraph" w:styleId="740">
    <w:name w:val="Header"/>
    <w:basedOn w:val="67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1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74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3">
    <w:name w:val="Balloon Text"/>
    <w:basedOn w:val="67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44">
    <w:name w:val="List Paragraph"/>
    <w:basedOn w:val="676"/>
    <w:uiPriority w:val="34"/>
    <w:qFormat/>
    <w:pPr>
      <w:contextualSpacing/>
      <w:ind w:left="720" w:firstLine="0"/>
      <w:spacing w:before="0" w:after="160"/>
    </w:pPr>
  </w:style>
  <w:style w:type="paragraph" w:styleId="745">
    <w:name w:val="Footer"/>
    <w:basedOn w:val="67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6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747" w:customStyle="1">
    <w:name w:val="Содержимое таблицы"/>
    <w:basedOn w:val="676"/>
    <w:qFormat/>
    <w:pPr>
      <w:widowControl w:val="off"/>
      <w:suppressLineNumbers/>
    </w:pPr>
  </w:style>
  <w:style w:type="paragraph" w:styleId="748" w:customStyle="1">
    <w:name w:val="Заголовок таблицы"/>
    <w:basedOn w:val="747"/>
    <w:qFormat/>
    <w:pPr>
      <w:jc w:val="center"/>
    </w:pPr>
    <w:rPr>
      <w:b/>
      <w:bCs/>
    </w:rPr>
  </w:style>
  <w:style w:type="numbering" w:styleId="749" w:default="1">
    <w:name w:val="No List"/>
    <w:uiPriority w:val="99"/>
    <w:semiHidden/>
    <w:unhideWhenUsed/>
    <w:qFormat/>
  </w:style>
  <w:style w:type="table" w:styleId="75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4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6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7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7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58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59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0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1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2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63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4" w:customStyle="1">
    <w:name w:val="Bordered &amp; Lined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5" w:customStyle="1">
    <w:name w:val="Bordered &amp; Lined - Accent 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6" w:customStyle="1">
    <w:name w:val="Bordered &amp; Lined - Accent 3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7" w:customStyle="1">
    <w:name w:val="Bordered &amp; Lined - Accent 4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8" w:customStyle="1">
    <w:name w:val="Bordered &amp; Lined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9" w:customStyle="1">
    <w:name w:val="Bordered &amp; Lined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363&amp;n=167344&amp;dst=100025&amp;field=134&amp;date=30.06.2025" TargetMode="External"/><Relationship Id="rId11" Type="http://schemas.openxmlformats.org/officeDocument/2006/relationships/hyperlink" Target="https://login.consultant.ru/link/?req=doc&amp;base=RLAW363&amp;n=173404&amp;dst=100013&amp;field=134&amp;date=30.06.2025" TargetMode="External"/><Relationship Id="rId12" Type="http://schemas.openxmlformats.org/officeDocument/2006/relationships/hyperlink" Target="https://login.consultant.ru/link/?req=doc&amp;base=RLAW363&amp;n=178688&amp;dst=100006&amp;field=134&amp;date=30.06.2025" TargetMode="External"/><Relationship Id="rId13" Type="http://schemas.openxmlformats.org/officeDocument/2006/relationships/hyperlink" Target="https://login.consultant.ru/link/?req=doc&amp;base=LAW&amp;n=501480&amp;date=30.06.2025&amp;dst=946&amp;field=134" TargetMode="External"/><Relationship Id="rId14" Type="http://schemas.openxmlformats.org/officeDocument/2006/relationships/hyperlink" Target="https://login.consultant.ru/link/?req=doc&amp;base=LAW&amp;n=501480&amp;date=30.06.2025&amp;dst=94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2258-DA00-428F-9523-973F6688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Ландыш Азатовна</dc:creator>
  <dc:description/>
  <dc:language>ru-RU</dc:language>
  <cp:revision>36</cp:revision>
  <dcterms:created xsi:type="dcterms:W3CDTF">2024-12-26T12:10:00Z</dcterms:created>
  <dcterms:modified xsi:type="dcterms:W3CDTF">2025-07-22T15:28:02Z</dcterms:modified>
</cp:coreProperties>
</file>