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D7A58" w:rsidTr="0074672A">
        <w:tc>
          <w:tcPr>
            <w:tcW w:w="3332" w:type="dxa"/>
          </w:tcPr>
          <w:p w:rsidR="00F532D1" w:rsidRDefault="00A82F2A" w:rsidP="00F532D1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  <w:lang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4672A">
            <w:pPr>
              <w:pStyle w:val="10"/>
              <w:rPr>
                <w:b/>
                <w:sz w:val="20"/>
              </w:rPr>
            </w:pPr>
          </w:p>
          <w:p w:rsidR="00CF49BB" w:rsidRPr="00F86B0E" w:rsidRDefault="00A82F2A" w:rsidP="0074672A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74672A">
            <w:pPr>
              <w:pStyle w:val="10"/>
              <w:jc w:val="center"/>
            </w:pPr>
          </w:p>
          <w:p w:rsidR="00CF49BB" w:rsidRPr="00F11EEC" w:rsidRDefault="00CF49BB" w:rsidP="0074672A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A82F2A" w:rsidP="0074672A">
            <w:pPr>
              <w:pStyle w:val="10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  <w:lang/>
              </w:rPr>
              <w:t>Казан шәһәре</w:t>
            </w:r>
          </w:p>
        </w:tc>
        <w:tc>
          <w:tcPr>
            <w:tcW w:w="3332" w:type="dxa"/>
          </w:tcPr>
          <w:p w:rsidR="00CF49BB" w:rsidRDefault="00A82F2A" w:rsidP="0074672A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  <w:lang/>
              </w:rPr>
              <w:t>БОЕРЫК</w:t>
            </w:r>
          </w:p>
          <w:p w:rsidR="00F11EEC" w:rsidRPr="00F11EEC" w:rsidRDefault="00F11EEC" w:rsidP="0074672A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4672A">
            <w:pPr>
              <w:pStyle w:val="10"/>
              <w:rPr>
                <w:sz w:val="20"/>
              </w:rPr>
            </w:pPr>
          </w:p>
          <w:p w:rsidR="00CF49BB" w:rsidRPr="00F86B0E" w:rsidRDefault="00A82F2A" w:rsidP="0074672A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№________________</w:t>
            </w:r>
          </w:p>
        </w:tc>
      </w:tr>
    </w:tbl>
    <w:p w:rsidR="00187EAC" w:rsidRDefault="00A82F2A" w:rsidP="00F86B0E">
      <w:pPr>
        <w:pStyle w:val="10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8240" behindDoc="1" locked="1" layoutInCell="0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54321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AC9" w:rsidRDefault="00444AC9" w:rsidP="00F86B0E">
      <w:pPr>
        <w:pStyle w:val="10"/>
        <w:rPr>
          <w:lang w:val="en-US"/>
        </w:rPr>
      </w:pPr>
    </w:p>
    <w:p w:rsidR="00FD20D6" w:rsidRDefault="00FD20D6" w:rsidP="00FD20D6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0D6" w:rsidRDefault="00A82F2A" w:rsidP="0051183F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/>
        </w:rPr>
        <w:t xml:space="preserve">Татарстан Республикасы Икътисад министрлыгының «Татарстан Республикасы Икътисад министрлыгы каршындагы Иҗтимагый совет турында» 2021 елның 07 декабрендәге 495/1 номерлы боерыгы </w:t>
      </w:r>
      <w:r>
        <w:rPr>
          <w:rFonts w:ascii="Times New Roman" w:hAnsi="Times New Roman" w:cs="Times New Roman"/>
          <w:bCs/>
          <w:sz w:val="28"/>
          <w:szCs w:val="28"/>
          <w:lang/>
        </w:rPr>
        <w:t>белән расланган Татарстан Республикасы Икътисад министрлыгы каршындагы Иҗтимагый совет турындагы Нигезләмәгә үзгәрешләр кертү хакында</w:t>
      </w:r>
    </w:p>
    <w:p w:rsidR="00FD20D6" w:rsidRDefault="00FD20D6" w:rsidP="00FD2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0D6" w:rsidRPr="0036731A" w:rsidRDefault="00A82F2A" w:rsidP="00F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1A">
        <w:rPr>
          <w:sz w:val="28"/>
          <w:szCs w:val="28"/>
          <w:lang/>
        </w:rPr>
        <w:t xml:space="preserve">Татарстан Республикасы Министрлар Кабинетының «Татарстан Республикасы министрлыгы, дәүләт комитеты, ведомствосы </w:t>
      </w:r>
      <w:r w:rsidRPr="0036731A">
        <w:rPr>
          <w:sz w:val="28"/>
          <w:szCs w:val="28"/>
          <w:lang/>
        </w:rPr>
        <w:t>каршындагы Иҗтимагый совет турында» 2010 елның 18 ноябрендәге 906 номерлы карары белән расланган Татарстан Республикасы Министрлар Кабинетының «Татарстан Республикасы министрлыгы, дәүләт комитеты, ведомствосы каршындагы Иҗтимагый совет турында Типлаштырылг</w:t>
      </w:r>
      <w:r w:rsidRPr="0036731A">
        <w:rPr>
          <w:sz w:val="28"/>
          <w:szCs w:val="28"/>
          <w:lang/>
        </w:rPr>
        <w:t>ан нигезләмәгә үзгәрешләр кертү хакында» 2022 елның 26 гыйнварындагы 54 номерлы карары нигезендә боерам:</w:t>
      </w:r>
    </w:p>
    <w:p w:rsidR="00FD20D6" w:rsidRDefault="00A82F2A" w:rsidP="00F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>Татарстан Республикасы Икътисад министрлыгының «Татарстан Республикасы Икътисад министрлыгы каршындагы Иҗтимагый совет турында» 2021 елның 07 декабренд</w:t>
      </w:r>
      <w:r>
        <w:rPr>
          <w:sz w:val="28"/>
          <w:szCs w:val="28"/>
          <w:lang/>
        </w:rPr>
        <w:t>әге 495/1 номерлы боерыгы белән расланган Татарстан Республикасы Икътисад министрлыгы каршындагы Иҗтимагый совет турындагы Нигезләмәгә түбәндәге үзгәрешләрне керергә:</w:t>
      </w:r>
    </w:p>
    <w:p w:rsidR="00FD20D6" w:rsidRDefault="00A82F2A" w:rsidP="00F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>6.6 пунктының икенче абзацында «әлеге пунктның беренче абзацында күрсәтелгән тәкъдимне ал</w:t>
      </w:r>
      <w:r>
        <w:rPr>
          <w:sz w:val="28"/>
          <w:szCs w:val="28"/>
          <w:lang/>
        </w:rPr>
        <w:t>ган көннән алып, эш көннәрендә исәпләнә торган биш көн эчендә» сүзләрен өстәргә;</w:t>
      </w:r>
    </w:p>
    <w:p w:rsidR="00FD20D6" w:rsidRPr="0036731A" w:rsidRDefault="00A82F2A" w:rsidP="00F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>6.7 пунктның икенче абзацында «әлеге пунктның беренче абзацында күрсәтелгән тәкъдимне алган көннән алып, эш көннәрендә исәпләнә торган биш көн эчендә» сүзләрен өстәргә;</w:t>
      </w:r>
    </w:p>
    <w:p w:rsidR="00FD20D6" w:rsidRDefault="00A82F2A" w:rsidP="00F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>6.8 пу</w:t>
      </w:r>
      <w:r>
        <w:rPr>
          <w:sz w:val="28"/>
          <w:szCs w:val="28"/>
          <w:lang/>
        </w:rPr>
        <w:t>нктының икенче абзацында «әлеге пунктның беренче абзацында күрсәтелгән тәкъдимне алган көннән алып, эш көннәрендә исәпләнә торган биш көн эчендә» сүзләрен өстәргә.</w:t>
      </w:r>
    </w:p>
    <w:p w:rsidR="00FD20D6" w:rsidRPr="0036731A" w:rsidRDefault="00FD20D6" w:rsidP="00FD20D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187EAC" w:rsidRPr="00FD20D6" w:rsidRDefault="00A82F2A" w:rsidP="00FD20D6">
      <w:pPr>
        <w:pStyle w:val="ConsPlusNormal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Татарстан Республикасы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/>
        </w:rPr>
        <w:t xml:space="preserve">Премьер-министры урынбасары – министр                              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М.Р. Шаһиәхмәтов</w:t>
      </w:r>
    </w:p>
    <w:sectPr w:rsidR="00187EAC" w:rsidRPr="00FD20D6" w:rsidSect="00CF49BB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8F709A"/>
    <w:rsid w:val="00006A09"/>
    <w:rsid w:val="000108C2"/>
    <w:rsid w:val="00051CD7"/>
    <w:rsid w:val="00057354"/>
    <w:rsid w:val="00094464"/>
    <w:rsid w:val="000A2390"/>
    <w:rsid w:val="000B1577"/>
    <w:rsid w:val="000B3FED"/>
    <w:rsid w:val="00123BD0"/>
    <w:rsid w:val="001313B5"/>
    <w:rsid w:val="00133170"/>
    <w:rsid w:val="00161D0F"/>
    <w:rsid w:val="00184496"/>
    <w:rsid w:val="00187EAC"/>
    <w:rsid w:val="001B016C"/>
    <w:rsid w:val="001B6685"/>
    <w:rsid w:val="001C11EA"/>
    <w:rsid w:val="001D6C47"/>
    <w:rsid w:val="001F2941"/>
    <w:rsid w:val="00206EBF"/>
    <w:rsid w:val="00237B18"/>
    <w:rsid w:val="00270E02"/>
    <w:rsid w:val="00286D3A"/>
    <w:rsid w:val="002910A4"/>
    <w:rsid w:val="002B4205"/>
    <w:rsid w:val="002C6C85"/>
    <w:rsid w:val="002C77F1"/>
    <w:rsid w:val="002D5D9E"/>
    <w:rsid w:val="002E4431"/>
    <w:rsid w:val="003141B8"/>
    <w:rsid w:val="003156AB"/>
    <w:rsid w:val="00320FA5"/>
    <w:rsid w:val="0034357E"/>
    <w:rsid w:val="0036731A"/>
    <w:rsid w:val="0037039C"/>
    <w:rsid w:val="0037777D"/>
    <w:rsid w:val="00393AE5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96EBC"/>
    <w:rsid w:val="004C792E"/>
    <w:rsid w:val="005055CC"/>
    <w:rsid w:val="00505968"/>
    <w:rsid w:val="0051183F"/>
    <w:rsid w:val="00515D15"/>
    <w:rsid w:val="00527371"/>
    <w:rsid w:val="0053661D"/>
    <w:rsid w:val="005643BF"/>
    <w:rsid w:val="005758C3"/>
    <w:rsid w:val="0058015B"/>
    <w:rsid w:val="005A0150"/>
    <w:rsid w:val="005A446A"/>
    <w:rsid w:val="005A5A52"/>
    <w:rsid w:val="005C0CC1"/>
    <w:rsid w:val="005C62E5"/>
    <w:rsid w:val="005F6024"/>
    <w:rsid w:val="00613B4E"/>
    <w:rsid w:val="0062333E"/>
    <w:rsid w:val="00637B68"/>
    <w:rsid w:val="006456CA"/>
    <w:rsid w:val="00671E8B"/>
    <w:rsid w:val="006A5700"/>
    <w:rsid w:val="006B71AD"/>
    <w:rsid w:val="006C36D5"/>
    <w:rsid w:val="006C77D2"/>
    <w:rsid w:val="006F1FF4"/>
    <w:rsid w:val="006F2022"/>
    <w:rsid w:val="00702929"/>
    <w:rsid w:val="00715134"/>
    <w:rsid w:val="007216F0"/>
    <w:rsid w:val="007411C3"/>
    <w:rsid w:val="0074672A"/>
    <w:rsid w:val="007971B2"/>
    <w:rsid w:val="007B3B1C"/>
    <w:rsid w:val="007D08B9"/>
    <w:rsid w:val="008310A1"/>
    <w:rsid w:val="00833D74"/>
    <w:rsid w:val="00863069"/>
    <w:rsid w:val="008722E9"/>
    <w:rsid w:val="00874364"/>
    <w:rsid w:val="00881598"/>
    <w:rsid w:val="00883C9A"/>
    <w:rsid w:val="00890ECD"/>
    <w:rsid w:val="008A284D"/>
    <w:rsid w:val="008B09E2"/>
    <w:rsid w:val="008B4254"/>
    <w:rsid w:val="008E199E"/>
    <w:rsid w:val="008F709A"/>
    <w:rsid w:val="00901DBD"/>
    <w:rsid w:val="00907BFD"/>
    <w:rsid w:val="009104EA"/>
    <w:rsid w:val="00915278"/>
    <w:rsid w:val="009670E6"/>
    <w:rsid w:val="0097551A"/>
    <w:rsid w:val="009A4CEE"/>
    <w:rsid w:val="009A52C8"/>
    <w:rsid w:val="009B0147"/>
    <w:rsid w:val="009B382E"/>
    <w:rsid w:val="009E45DB"/>
    <w:rsid w:val="00A14B2B"/>
    <w:rsid w:val="00A20FB3"/>
    <w:rsid w:val="00A27F9E"/>
    <w:rsid w:val="00A37075"/>
    <w:rsid w:val="00A82F2A"/>
    <w:rsid w:val="00AA117F"/>
    <w:rsid w:val="00AA1E2E"/>
    <w:rsid w:val="00AB256E"/>
    <w:rsid w:val="00AC1FFF"/>
    <w:rsid w:val="00AC3CCA"/>
    <w:rsid w:val="00AD0D03"/>
    <w:rsid w:val="00B111BC"/>
    <w:rsid w:val="00B16467"/>
    <w:rsid w:val="00B239B9"/>
    <w:rsid w:val="00B249BB"/>
    <w:rsid w:val="00B53FB1"/>
    <w:rsid w:val="00B61A72"/>
    <w:rsid w:val="00B66DE2"/>
    <w:rsid w:val="00B7101B"/>
    <w:rsid w:val="00B83935"/>
    <w:rsid w:val="00B91E79"/>
    <w:rsid w:val="00B971A5"/>
    <w:rsid w:val="00BE130A"/>
    <w:rsid w:val="00BE4CCF"/>
    <w:rsid w:val="00BF240B"/>
    <w:rsid w:val="00C268B9"/>
    <w:rsid w:val="00C4105E"/>
    <w:rsid w:val="00C46867"/>
    <w:rsid w:val="00C72F1C"/>
    <w:rsid w:val="00C85607"/>
    <w:rsid w:val="00CA40D5"/>
    <w:rsid w:val="00CA7357"/>
    <w:rsid w:val="00CD2CB6"/>
    <w:rsid w:val="00CD4580"/>
    <w:rsid w:val="00CE3E77"/>
    <w:rsid w:val="00CF0BF6"/>
    <w:rsid w:val="00CF49BB"/>
    <w:rsid w:val="00D526A1"/>
    <w:rsid w:val="00D8504C"/>
    <w:rsid w:val="00D906B7"/>
    <w:rsid w:val="00D94027"/>
    <w:rsid w:val="00DD6385"/>
    <w:rsid w:val="00DF555F"/>
    <w:rsid w:val="00E20E4E"/>
    <w:rsid w:val="00E266F6"/>
    <w:rsid w:val="00E53105"/>
    <w:rsid w:val="00E70096"/>
    <w:rsid w:val="00E84D1F"/>
    <w:rsid w:val="00E90B27"/>
    <w:rsid w:val="00E93B69"/>
    <w:rsid w:val="00EA33F8"/>
    <w:rsid w:val="00ED3C18"/>
    <w:rsid w:val="00ED7A58"/>
    <w:rsid w:val="00F06AB5"/>
    <w:rsid w:val="00F11EEC"/>
    <w:rsid w:val="00F24A98"/>
    <w:rsid w:val="00F532D1"/>
    <w:rsid w:val="00F56591"/>
    <w:rsid w:val="00F65C41"/>
    <w:rsid w:val="00F86B0E"/>
    <w:rsid w:val="00F91897"/>
    <w:rsid w:val="00F941BA"/>
    <w:rsid w:val="00FA755F"/>
    <w:rsid w:val="00FC1E2F"/>
    <w:rsid w:val="00FC41CD"/>
    <w:rsid w:val="00FD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20D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891E-E242-4BE4-81D1-2A8CED6D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1555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User</cp:lastModifiedBy>
  <cp:revision>3</cp:revision>
  <cp:lastPrinted>2015-05-26T14:30:00Z</cp:lastPrinted>
  <dcterms:created xsi:type="dcterms:W3CDTF">2022-03-01T10:15:00Z</dcterms:created>
  <dcterms:modified xsi:type="dcterms:W3CDTF">2022-03-01T10:16:00Z</dcterms:modified>
</cp:coreProperties>
</file>