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Новое в законодательстве о порядке 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tyle23"/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лицензирования и обращения с ломом и отходами металлов с </w:t>
      </w:r>
      <w:r>
        <w:rPr>
          <w:rStyle w:val="Style23"/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24.09</w:t>
      </w:r>
      <w:r>
        <w:rPr>
          <w:rStyle w:val="Style23"/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.202</w:t>
      </w:r>
      <w:r>
        <w:rPr>
          <w:rStyle w:val="Style23"/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5</w:t>
      </w:r>
      <w:r>
        <w:rPr>
          <w:rStyle w:val="Style23"/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Style38"/>
        <w:bidi w:val="0"/>
        <w:spacing w:lineRule="auto" w:line="360"/>
        <w:rPr>
          <w:rStyle w:val="Style2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Правительства Российской Федерации от 24.09.2025 № 1467 «О внесении изменений в постановление Правительства Российской Феерации от 28 мая 2022 г. № 980» </w:t>
      </w:r>
      <w:r>
        <w:rPr>
          <w:rFonts w:cs="Times New Roman" w:ascii="Times New Roman" w:hAnsi="Times New Roman"/>
          <w:sz w:val="28"/>
          <w:szCs w:val="28"/>
        </w:rPr>
        <w:t>(</w:t>
      </w:r>
      <w:hyperlink r:id="rId2">
        <w:r>
          <w:rPr>
            <w:rStyle w:val="-"/>
            <w:rFonts w:cs="Times New Roman" w:ascii="Times New Roman" w:hAnsi="Times New Roman"/>
            <w:sz w:val="28"/>
            <w:szCs w:val="28"/>
          </w:rPr>
          <w:t>http://publication.pravo.gov.ru/document/0001202509240026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>внесены изменения в</w:t>
      </w:r>
      <w:r>
        <w:rPr>
          <w:rFonts w:cs="Times New Roman" w:ascii="Times New Roman" w:hAnsi="Times New Roman"/>
          <w:sz w:val="28"/>
          <w:szCs w:val="28"/>
        </w:rPr>
        <w:t xml:space="preserve"> постановление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 </w:t>
      </w:r>
      <w:r>
        <w:rPr>
          <w:rFonts w:cs="Times New Roman" w:ascii="Times New Roman" w:hAnsi="Times New Roman"/>
          <w:sz w:val="28"/>
          <w:szCs w:val="28"/>
        </w:rPr>
        <w:t xml:space="preserve">Предлагаем ознакомиться с </w:t>
      </w:r>
      <w:r>
        <w:rPr>
          <w:rFonts w:cs="Times New Roman" w:ascii="Times New Roman" w:hAnsi="Times New Roman"/>
          <w:sz w:val="28"/>
          <w:szCs w:val="28"/>
        </w:rPr>
        <w:t>ними</w:t>
      </w:r>
      <w:r>
        <w:rPr>
          <w:rFonts w:cs="Times New Roman" w:ascii="Times New Roman" w:hAnsi="Times New Roman"/>
          <w:sz w:val="28"/>
          <w:szCs w:val="28"/>
        </w:rPr>
        <w:t xml:space="preserve"> подробнее.</w:t>
      </w:r>
    </w:p>
    <w:p>
      <w:pPr>
        <w:pStyle w:val="Style38"/>
        <w:bidi w:val="0"/>
        <w:spacing w:lineRule="auto" w:line="360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Введен дистанционный формат проведения предлицензионной оценки.</w:t>
      </w:r>
    </w:p>
    <w:p>
      <w:pPr>
        <w:pStyle w:val="Style38"/>
        <w:bidi w:val="0"/>
        <w:spacing w:lineRule="auto" w:line="360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Утверждены новые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сроки предоставления услуги,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которые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будут зависеть от формата проведения оценки соответствия лицензионным требованиям: </w:t>
      </w:r>
    </w:p>
    <w:p>
      <w:pPr>
        <w:pStyle w:val="Normal"/>
        <w:bidi w:val="0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2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yle2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до 7 рабочих дней сокращен срок предоставления услуги в случае проведения оценки с использованием средств дистанционного взаимодействия;</w:t>
      </w:r>
    </w:p>
    <w:p>
      <w:pPr>
        <w:pStyle w:val="Normal"/>
        <w:bidi w:val="0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2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срок 10 рабочих дней сохранился в случае невозможности проведения оценки с использованием средств дистанционного взаимодействия;</w:t>
      </w:r>
    </w:p>
    <w:p>
      <w:pPr>
        <w:pStyle w:val="Normal"/>
        <w:bidi w:val="0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2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до 15 рабочих дней увеличился </w:t>
      </w:r>
      <w:r>
        <w:rPr>
          <w:rStyle w:val="Style2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срок предоставления услуги</w:t>
      </w:r>
      <w:r>
        <w:rPr>
          <w:rStyle w:val="Style2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при наличии в 1 заявлении 5 и более адресов, по которым заявитель намерен осуществлять лицензируюмую деятельность, либо адресов, расположенных на территориях Донецкой Народной Республики, Луганской Народной Республики, Запорожской и Херсонской областей.</w:t>
      </w:r>
    </w:p>
    <w:p>
      <w:pPr>
        <w:pStyle w:val="Normal"/>
        <w:bidi w:val="0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2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Обращаем Ваше внимание, что дистанционное взаимодействие может осуществляться при наличии у соискателя лицензии (лицензиата) средств передачи информации (IP-адрес устройства). В случае отсутсвия такой возможности за зявителем</w:t>
      </w:r>
      <w:r>
        <w:rPr>
          <w:rStyle w:val="Style23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закреплено право отказа от дистанционного проведения выездной оценки с использованием  средств дистанционного взаимодействия в пользу традиционного способа — непосредственного выезда инспектора на объект осуществления лицензируемой деятельности.</w:t>
      </w:r>
    </w:p>
    <w:p>
      <w:pPr>
        <w:pStyle w:val="Style38"/>
        <w:bidi w:val="0"/>
        <w:spacing w:lineRule="auto" w:line="36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части лицензионного контроля внесены изменения в критерии категорий риска объектов. Так, к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объектам  высокого риска, относится деятельность, осуществляемая лицензиатами, которые в течение 3 лет, предшествующих формированию лицензирующим органом плана проведения плановых контрольных (надзорных) мероприятий на очередной год, были привлечены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порядке, установленном законодательством Российской Федерации,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к административной ответственности за грубое нарушение лицензионных требований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или невыполнение в установленный срок предписания об устранении нарушения лицензионных требований, выданного лицензирующим органом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порядке, установленном законодательством Российской Федерации, или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которым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было назначено административное наказание в виде административного приостановления деятельности в порядке, установленном законодательством Российской Федерации.</w:t>
      </w:r>
    </w:p>
    <w:p>
      <w:pPr>
        <w:pStyle w:val="Style38"/>
        <w:bidi w:val="0"/>
        <w:spacing w:lineRule="auto" w:line="36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К объектам среднего риска относится деятельность, осуществляемая лицензиатами, в отношении которых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0"/>
          <w:szCs w:val="28"/>
        </w:rPr>
        <w:t xml:space="preserve">в течение 3 лет, предшествующих формированию лицензирующим органом плана проведения плановых контрольных (надзорных) мероприятий на очередной год, не были проведены плановые контрольные (надзорные) мероприятия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0"/>
          <w:szCs w:val="28"/>
        </w:rPr>
        <w:t xml:space="preserve">либо обязательный профилактический визит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0"/>
          <w:szCs w:val="28"/>
        </w:rPr>
        <w:t xml:space="preserve">или оценка соответствия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0"/>
          <w:szCs w:val="28"/>
        </w:rPr>
        <w:t xml:space="preserve">соискателя лицензии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0"/>
          <w:szCs w:val="28"/>
        </w:rPr>
        <w:t>лицензионным требованиям.</w:t>
      </w:r>
    </w:p>
    <w:p>
      <w:pPr>
        <w:pStyle w:val="Style38"/>
        <w:bidi w:val="0"/>
        <w:spacing w:lineRule="auto" w:line="36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0"/>
          <w:szCs w:val="28"/>
        </w:rPr>
        <w:t>К объектам низкого риска относится деятельность, которые не отнесены к высокой и средней категории.</w:t>
      </w:r>
    </w:p>
    <w:p>
      <w:pPr>
        <w:pStyle w:val="Style38"/>
        <w:bidi w:val="0"/>
        <w:spacing w:lineRule="auto" w:line="36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0"/>
          <w:szCs w:val="28"/>
        </w:rPr>
        <w:t xml:space="preserve">Дополнительно уведомляем, что изменилась и форма приемо-сдаточного акта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0"/>
          <w:szCs w:val="28"/>
        </w:rPr>
        <w:t>в части указания в нем ссылок на межгосударственные стандарты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0"/>
          <w:szCs w:val="28"/>
        </w:rPr>
        <w:t>.</w:t>
      </w:r>
    </w:p>
    <w:p>
      <w:pPr>
        <w:pStyle w:val="Normal"/>
        <w:bidi w:val="0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Изменения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вступ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или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 силу с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24 сентября 2025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года. </w:t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Times New Roman">
    <w:charset w:val="01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ublication.pravo.gov.ru/document/0001202509240026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432</TotalTime>
  <Application>LibreOffice/7.5.6.2$Linux_X86_64 LibreOffice_project/50$Build-2</Application>
  <AppVersion>15.0000</AppVersion>
  <Pages>2</Pages>
  <Words>428</Words>
  <Characters>3123</Characters>
  <CharactersWithSpaces>3533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2025-09-25T09:34:33Z</dcterms:created>
  <dc:creator/>
  <dc:description/>
  <dc:language>ru-RU</dc:language>
  <cp:lastModifiedBy/>
  <dcterms:modified xsi:type="dcterms:W3CDTF">2025-09-25T16:46:53Z</dcterms:modified>
  <cp:revision>12</cp:revision>
  <dc:subject/>
  <dc:title>Default</dc:title>
</cp:coreProperties>
</file>