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8"/>
        <w:bidi w:val="0"/>
        <w:spacing w:lineRule="auto" w:line="276"/>
        <w:jc w:val="center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Уважаемые лицензиаты!</w:t>
      </w:r>
    </w:p>
    <w:p>
      <w:pPr>
        <w:pStyle w:val="Style38"/>
        <w:bidi w:val="0"/>
        <w:spacing w:lineRule="auto" w:line="276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Style38"/>
        <w:bidi w:val="0"/>
        <w:spacing w:lineRule="auto" w:line="276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Как Вы все уже знаете,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Правительством Российской Федерации до 2030 года наложен мораторий на проведение плановых проверок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отношении предприятий,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осуществл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яющих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деятельность по заготовке, хранению, переработке и реализации лома черных и цветных металлов,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 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сключение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предприяти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отнесенны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 высокой и чрезвычайно высокой категории риска.</w:t>
      </w:r>
    </w:p>
    <w:p>
      <w:pPr>
        <w:pStyle w:val="Style38"/>
        <w:bidi w:val="0"/>
        <w:spacing w:lineRule="auto" w:line="276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днако контрольные (надзорные) органы имеют право проведения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внепланов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ых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провер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ок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 согласованию с органами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рокуратуры.</w:t>
      </w:r>
    </w:p>
    <w:p>
      <w:pPr>
        <w:pStyle w:val="Style38"/>
        <w:bidi w:val="0"/>
        <w:spacing w:lineRule="auto" w:line="276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дним из оснований проведения внеплановой проверки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38"/>
        <w:bidi w:val="0"/>
        <w:spacing w:lineRule="auto" w:line="276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рамках осуществления деятельности по заготовке, хранению, переработке и реализации лома черных и цветных металлов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риказ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Министерства промышленности и торговли Российской Федерации от 30.06.2023 № 2409 «Об утверждении перечня индикаторов риска нарушения обязательных требований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» утвержден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2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индикатор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риска нарушения обязательных требований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Style38"/>
        <w:bidi w:val="0"/>
        <w:spacing w:lineRule="auto" w:line="276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оступление в лицензирующий орган заявления о предоставлении лицензии на осуществление деятельности по заготовке, хранению, переработке и реализации лома черных и цветных металлов (о внесении изменений в реестр лицензий на осуществление деятельности по заготовке, хранению, переработке и реализации лома черных и цветных металлов) от соискателя лицензии (лицензиата), производственный объект которого, заявленный (используемый) для осуществления деятельности по заготовке, хранению, переработке и реализации лома черных и цветных металлов, принадлежит на праве собственности или ином законном основании иному лицензиату, при условии отсутствия в лицензирующем органе направленного таким лицензиатом заявления о внесении изменений в реестр лицензий на осуществление деятельности по заготовке, хранению, переработке и реализации лома черных и цветных металлов в связи с прекращением осуществления деятельности по заготовке, хранению, переработке и реализации лома черных и цветных металлов на указанном производственном объекте, либо заявления о прекращении деятельности.</w:t>
      </w:r>
    </w:p>
    <w:p>
      <w:pPr>
        <w:pStyle w:val="Style38"/>
        <w:bidi w:val="0"/>
        <w:spacing w:lineRule="auto" w:line="276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</w:t>
      </w:r>
      <w:bookmarkStart w:id="0" w:name="P0024"/>
      <w:bookmarkEnd w:id="0"/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Поступление в лицензирующий орган заявления о предоставлении лицензии на осуществление деятельности по заготовке, хранению, переработке и реализации лома черных и цветных металлов (о внесении изменений в реестр лицензий на осуществление деятельности по заготовке, хранению, переработке и реализации лома черных и цветных металлов) от соискателя лицензии (лицензиата), производственное оборудование которого, заявленное (используемое) для осуществления деятельности по заготовке, хранению, переработке и реализации лома черных и цветных металлов, принадлежит на праве собственности или ином законном основании иному лицензиату, при условии отсутствия в лицензирующем органе направленного таким лицензиатом заявления о прекращении деятельности по заготовке, хранению, переработке и реализации лома черных и цветных металлов.</w:t>
      </w:r>
    </w:p>
    <w:p>
      <w:pPr>
        <w:pStyle w:val="Style38"/>
        <w:bidi w:val="0"/>
        <w:spacing w:lineRule="auto" w:line="276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Учитывая вышеизложенное, при подаче документов на предоставление лицензии и внесение изменений в реестр лицензий просим Вас обращать детальное внимание на заявляемое оборудование и объект недвижимости, на котором предполагается ведение лицензируемой деятельности.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1214</TotalTime>
  <Application>LibreOffice/7.5.6.2$Linux_X86_64 LibreOffice_project/50$Build-2</Application>
  <AppVersion>15.0000</AppVersion>
  <Pages>2</Pages>
  <Words>432</Words>
  <Characters>3073</Characters>
  <CharactersWithSpaces>3487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2025-01-23T14:53:27Z</dcterms:created>
  <dc:creator/>
  <dc:description/>
  <dc:language>ru-RU</dc:language>
  <cp:lastModifiedBy/>
  <cp:lastPrinted>2025-01-24T10:47:37Z</cp:lastPrinted>
  <dcterms:modified xsi:type="dcterms:W3CDTF">2025-01-24T11:08:08Z</dcterms:modified>
  <cp:revision>19</cp:revision>
  <dc:subject/>
  <dc:title>Default</dc:title>
</cp:coreProperties>
</file>