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-567" w:firstLine="709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Справка о состоянии конкурентной среды Республики Татарстан </w:t>
      </w:r>
    </w:p>
    <w:p>
      <w:pPr>
        <w:pStyle w:val="Normal"/>
        <w:spacing w:lineRule="auto" w:line="276"/>
        <w:ind w:left="-567" w:firstLine="709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в 2023 году</w:t>
      </w:r>
    </w:p>
    <w:p>
      <w:pPr>
        <w:pStyle w:val="Normal"/>
        <w:spacing w:lineRule="auto" w:line="276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Республике Татарстан развитие конкурентной среды на рынках товаров, работ, услуг осуществляется согласно </w:t>
      </w:r>
      <w:r>
        <w:rPr>
          <w:rFonts w:ascii="Times New Roman" w:hAnsi="Times New Roman"/>
          <w:b/>
          <w:sz w:val="28"/>
          <w:szCs w:val="28"/>
        </w:rPr>
        <w:t>Национальному плану («дорожной карте») развития конкуренции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 на 2021 - 2025 годы, утвержденной распоряжением Правительства Российской Федерации от 02.09.2021 № 2424-р, и </w:t>
      </w:r>
      <w:r>
        <w:rPr>
          <w:rFonts w:ascii="Times New Roman" w:hAnsi="Times New Roman"/>
          <w:b/>
          <w:sz w:val="28"/>
          <w:szCs w:val="28"/>
        </w:rPr>
        <w:t>Стандарту развития конкуренции</w:t>
      </w:r>
      <w:r>
        <w:rPr>
          <w:rFonts w:ascii="Times New Roman" w:hAnsi="Times New Roman"/>
          <w:sz w:val="28"/>
          <w:szCs w:val="28"/>
        </w:rPr>
        <w:t xml:space="preserve"> в субъектах Российской Федерации, утвержденному распоряжением Правительства Российской Федерации                                         от 17.04.2019 № 768-р.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ascii="Times New Roman" w:hAnsi="Times New Roman"/>
          <w:sz w:val="28"/>
          <w:szCs w:val="28"/>
        </w:rPr>
        <w:t>Согласно Стандарту развития конкуренции и Национальному плану в Республике Татарстан принята Дорожная карта по содействию развитию конкуренции на 2021 – 2025 годы, которая утверждена распоряжением Президента Республики Татарстан от 31.08.2019 № 306 «Об утверждении Перечня товарных рынков для содействия развитию конкуренции в Республике Татарстан и Плана мероприятий («дорожной карты») по содействию развитию конкуренции в Республике Татарстан на 2019-2025 годы».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ascii="Times New Roman" w:hAnsi="Times New Roman"/>
          <w:sz w:val="28"/>
          <w:szCs w:val="28"/>
        </w:rPr>
        <w:t>В республиканскую Дорожную карту включены: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ascii="Times New Roman" w:hAnsi="Times New Roman"/>
          <w:sz w:val="28"/>
          <w:szCs w:val="28"/>
        </w:rPr>
        <w:t>- 47 рынков (37 - из Стандарта развития конкуренции, 10 - с учетом региональной специфики);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- 49 ключевых показателей, 62 мероприятия для достижения ключевых показателей на каждом рынке; 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- 62 системных мероприятия вне конкретных рынков, также направленных на развитие конкурентной среды;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- 9 мероприятий из Национального плана развития конкуренции. 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Определены 25 исполнителей из числа органов власти, реализующих данные мероприятия.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 итогам 2023 года 37 из 37 ключевых мероприятий Дорожной карты по содействию развитию конкуренции в Республике Татарстан исполнены.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 рамках исполнения ключевых показателей Дорожной карты: 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за 2 года доля модернизированных и введенных в эксплуатацию предприятий промышленности строительных материалов от общего количества предприятий промышленности строительных материалов увеличилось на 14%;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увеличилась доля частных организаций на рынке семеноводства с 95% до 98%, на рынке теплоснабжения с 68% до 69%, на рынке оказания услуг по перевозке пассажиров автомобильным транспортом с 27% до 28%, на рынке социальных услуг с 18% до 20%, на рынке добычи общераспространенных полезных ископаемых с 96% до 99%, на рынке услуг розничной торговли лекарственными препаратами с 90% до 92%.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 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году проведено 15 заседаний Рабочей группы по развитию конкуренции. На базе Учебно-методического центра Федеральной антимонопольной службы 13 апреля 2023 года с участием Статс-секретаря – Заместителя руководителя Федеральной антимонопольной службы С.А.Пузыревского прошло совещание по вопросу реализации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орожной карты по содействию развитию конкуренции в Республике Татарстан и задачах по исполнению Национального плана развития конкуренции в Российской Федерации до 2025 года. По итогам совещания утвержден Перечень поручений Премьер-министра Республики Татарстан А.В.Песошина от 15.05.2023 № АП-12-144, все поручения исполнены.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510" w:right="57" w:firstLine="68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В ходе мониторинга состояния развития конкурентной среды в Республике Татарстан проведен опрос субъектов предпринимательской деятельности (233 респондента) и населения республики (2448 респондентов).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510" w:right="57" w:firstLine="68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 итогам опроса сделаны следующие выводы: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510" w:right="57" w:firstLine="68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условия ведения бизнеса соответствуют показателям высокой и очень высокой конкуренции;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510" w:right="57" w:firstLine="680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softHyphen/>
        <w:t xml:space="preserve"> 76,4% предпринимателей удовлетворены деятельностью органов власти Республики Татарстан;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отмечается удовлетворенность  качеством товаров и услуг, а также достаточностью количества организаций по предоставлению товаров и услуг.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Республика Татарстан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неоднократно была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представлена в «белой книге» лучших практик развития конкуренции, формируемой ФАС России.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Так, на сайте законкуренцию.рф от Республики Татарстан представлены 6 лучших практик по содействию развитию конкуренции: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1) «IT-Парк им. Башира Рамеева» (поддержка творческой молодежи и привлечение инвестиций);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2) олимпиада по предпринимательству (для юных предпринимателей);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3) партнерское финансирование (предоставление альтернативы традиционным продуктам);</w:t>
      </w:r>
    </w:p>
    <w:p>
      <w:pPr>
        <w:pStyle w:val="Normal"/>
        <w:spacing w:lineRule="auto" w:line="276"/>
        <w:ind w:left="-567" w:firstLine="709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4) поисковая система захоронений г. Казани;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ascii="Times New Roman" w:hAnsi="Times New Roman"/>
          <w:sz w:val="28"/>
          <w:szCs w:val="28"/>
        </w:rPr>
        <w:t>5) проект «Сельский магазин» (приобретение населением качественных товаров по доступным ценам);</w:t>
      </w:r>
    </w:p>
    <w:p>
      <w:pPr>
        <w:pStyle w:val="Normal"/>
        <w:spacing w:lineRule="auto" w:line="276"/>
        <w:ind w:left="-567" w:firstLine="709"/>
        <w:jc w:val="both"/>
        <w:rPr/>
      </w:pPr>
      <w:r>
        <w:rPr>
          <w:rFonts w:ascii="Times New Roman" w:hAnsi="Times New Roman"/>
          <w:sz w:val="28"/>
          <w:szCs w:val="28"/>
        </w:rPr>
        <w:t>6) ресурс «Центр импортозамещения» на базе Республиканского маркетингового центра.</w:t>
      </w:r>
    </w:p>
    <w:sectPr>
      <w:type w:val="nextPage"/>
      <w:pgSz w:w="11906" w:h="16838"/>
      <w:pgMar w:left="1701" w:right="567" w:gutter="0" w:header="0" w:top="914" w:footer="0" w:bottom="55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4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e7444"/>
    <w:rPr>
      <w:color w:val="0000FF"/>
      <w:u w:val="single"/>
    </w:rPr>
  </w:style>
  <w:style w:type="character" w:styleId="ConsPlusNormal" w:customStyle="1">
    <w:name w:val="ConsPlusNormal Знак"/>
    <w:link w:val="ConsPlusNormal1"/>
    <w:qFormat/>
    <w:rsid w:val="007e7444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429a4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1" w:customStyle="1">
    <w:name w:val="ConsPlusNormal"/>
    <w:link w:val="ConsPlusNormal"/>
    <w:qFormat/>
    <w:rsid w:val="007e744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429a4"/>
    <w:pPr/>
    <w:rPr>
      <w:rFonts w:ascii="Segoe UI" w:hAnsi="Segoe UI" w:cs="Segoe UI"/>
      <w:sz w:val="18"/>
      <w:szCs w:val="18"/>
    </w:rPr>
  </w:style>
  <w:style w:type="paragraph" w:styleId="S12" w:customStyle="1">
    <w:name w:val="s12"/>
    <w:basedOn w:val="Normal"/>
    <w:qFormat/>
    <w:rsid w:val="000d19d3"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944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LibreOffice/7.5.6.2$Linux_X86_64 LibreOffice_project/50$Build-2</Application>
  <AppVersion>15.0000</AppVersion>
  <Pages>2</Pages>
  <Words>518</Words>
  <Characters>3638</Characters>
  <CharactersWithSpaces>4175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2023-04-12T11:53:00Z</dcterms:created>
  <dc:creator>Марданов Булат Маратович</dc:creator>
  <dc:description/>
  <dc:language>ru-RU</dc:language>
  <cp:lastModifiedBy/>
  <cp:lastPrinted>2024-11-11T14:48:27Z</cp:lastPrinted>
  <dcterms:modified xsi:type="dcterms:W3CDTF">2024-11-12T13:42:29Z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