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13" w:rsidRDefault="00590C98">
      <w:pPr>
        <w:spacing w:after="115" w:line="250" w:lineRule="auto"/>
        <w:ind w:left="264" w:right="0" w:hanging="27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2630424</wp:posOffset>
            </wp:positionH>
            <wp:positionV relativeFrom="paragraph">
              <wp:posOffset>-216469</wp:posOffset>
            </wp:positionV>
            <wp:extent cx="716280" cy="713436"/>
            <wp:effectExtent l="0" t="0" r="0" b="0"/>
            <wp:wrapSquare wrapText="bothSides"/>
            <wp:docPr id="1784" name="Picture 17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" name="Picture 17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3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="00AF4A29" w:rsidRPr="00AF4A29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="00AF4A29" w:rsidRPr="00AF4A29">
        <w:rPr>
          <w:sz w:val="26"/>
        </w:rPr>
        <w:t xml:space="preserve"> </w:t>
      </w:r>
      <w:r>
        <w:rPr>
          <w:sz w:val="26"/>
        </w:rPr>
        <w:t>ИКЬТИСАД МИНИСТРЛЫГЫ</w:t>
      </w:r>
    </w:p>
    <w:p w:rsidR="00EE4513" w:rsidRDefault="00EE4513">
      <w:pPr>
        <w:sectPr w:rsidR="00EE4513">
          <w:headerReference w:type="even" r:id="rId8"/>
          <w:headerReference w:type="default" r:id="rId9"/>
          <w:headerReference w:type="first" r:id="rId10"/>
          <w:pgSz w:w="11904" w:h="16834"/>
          <w:pgMar w:top="1378" w:right="1306" w:bottom="1193" w:left="1306" w:header="720" w:footer="720" w:gutter="0"/>
          <w:cols w:space="720"/>
        </w:sectPr>
      </w:pPr>
    </w:p>
    <w:p w:rsidR="00EE4513" w:rsidRDefault="00590C98">
      <w:pPr>
        <w:spacing w:after="298" w:line="259" w:lineRule="auto"/>
        <w:ind w:left="48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138672" cy="18293"/>
                <wp:effectExtent l="0" t="0" r="0" b="0"/>
                <wp:docPr id="32022" name="Group 3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8672" cy="18293"/>
                          <a:chOff x="0" y="0"/>
                          <a:chExt cx="6138672" cy="18293"/>
                        </a:xfrm>
                      </wpg:grpSpPr>
                      <wps:wsp>
                        <wps:cNvPr id="32021" name="Shape 32021"/>
                        <wps:cNvSpPr/>
                        <wps:spPr>
                          <a:xfrm>
                            <a:off x="0" y="0"/>
                            <a:ext cx="613867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8672" h="18293">
                                <a:moveTo>
                                  <a:pt x="0" y="9147"/>
                                </a:moveTo>
                                <a:lnTo>
                                  <a:pt x="613867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022" style="width:483.36pt;height:1.44041pt;mso-position-horizontal-relative:char;mso-position-vertical-relative:line" coordsize="61386,182">
                <v:shape id="Shape 32021" style="position:absolute;width:61386;height:182;left:0;top:0;" coordsize="6138672,18293" path="m0,9147l6138672,9147">
                  <v:stroke weight="1.4404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EE4513" w:rsidRDefault="00590C98">
      <w:pPr>
        <w:tabs>
          <w:tab w:val="center" w:pos="1831"/>
          <w:tab w:val="center" w:pos="7874"/>
        </w:tabs>
        <w:spacing w:after="25" w:line="259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ПРИКАЗ</w:t>
      </w:r>
      <w:r>
        <w:rPr>
          <w:sz w:val="30"/>
        </w:rPr>
        <w:tab/>
        <w:t>БОЕРЫК</w:t>
      </w:r>
    </w:p>
    <w:p w:rsidR="00EE4513" w:rsidRDefault="00590C98">
      <w:pPr>
        <w:tabs>
          <w:tab w:val="center" w:pos="1991"/>
          <w:tab w:val="center" w:pos="4838"/>
        </w:tabs>
        <w:spacing w:after="527" w:line="259" w:lineRule="auto"/>
        <w:ind w:left="0" w:right="0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4425697</wp:posOffset>
            </wp:positionH>
            <wp:positionV relativeFrom="paragraph">
              <wp:posOffset>-9146</wp:posOffset>
            </wp:positionV>
            <wp:extent cx="2145792" cy="2521415"/>
            <wp:effectExtent l="0" t="0" r="0" b="0"/>
            <wp:wrapSquare wrapText="bothSides"/>
            <wp:docPr id="32019" name="Picture 32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19" name="Picture 320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45792" cy="2521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203960" cy="192079"/>
            <wp:effectExtent l="0" t="0" r="0" b="0"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9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г Казань</w:t>
      </w:r>
    </w:p>
    <w:p w:rsidR="00EE4513" w:rsidRDefault="00590C98" w:rsidP="00AF4A29">
      <w:pPr>
        <w:spacing w:after="1" w:line="246" w:lineRule="auto"/>
        <w:ind w:left="23" w:right="-10" w:firstLine="19"/>
        <w:jc w:val="left"/>
      </w:pPr>
      <w:r>
        <w:t>О</w:t>
      </w:r>
      <w:r>
        <w:tab/>
        <w:t>внесен</w:t>
      </w:r>
      <w:r w:rsidR="00AF4A29">
        <w:t>ии</w:t>
      </w:r>
      <w:r w:rsidR="00AF4A29">
        <w:tab/>
        <w:t>изменений</w:t>
      </w:r>
      <w:r w:rsidR="00AF4A29">
        <w:tab/>
        <w:t xml:space="preserve">в Административный </w:t>
      </w:r>
      <w:r>
        <w:t>регламент исполнения Министерством экономики Республики Татар</w:t>
      </w:r>
      <w:r w:rsidR="00AF4A29">
        <w:t xml:space="preserve">стан государственной функции по </w:t>
      </w:r>
      <w:r>
        <w:t>осуществлению лицензионного контроля в сфере заготовки, хранения, переработки и реализации лома черных металло</w:t>
      </w:r>
      <w:r>
        <w:t>в, цветных металлов,</w:t>
      </w:r>
      <w:r>
        <w:tab/>
        <w:t>утвержденный приказом Министерства экономики Республики Татарстан от 26.03.2013</w:t>
      </w:r>
      <w:r w:rsidR="00AF4A29" w:rsidRPr="00AF4A29">
        <w:t xml:space="preserve"> </w:t>
      </w:r>
      <w:r>
        <w:t>№ 96</w:t>
      </w:r>
    </w:p>
    <w:p w:rsidR="00AF4A29" w:rsidRDefault="00AF4A29" w:rsidP="00AF4A29">
      <w:pPr>
        <w:spacing w:after="1" w:line="246" w:lineRule="auto"/>
        <w:ind w:left="23" w:right="-10" w:firstLine="19"/>
        <w:jc w:val="left"/>
      </w:pPr>
    </w:p>
    <w:p w:rsidR="00EE4513" w:rsidRDefault="00590C98">
      <w:pPr>
        <w:spacing w:after="152" w:line="248" w:lineRule="auto"/>
        <w:ind w:left="23" w:right="293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707136</wp:posOffset>
            </wp:positionH>
            <wp:positionV relativeFrom="page">
              <wp:posOffset>8393537</wp:posOffset>
            </wp:positionV>
            <wp:extent cx="6096" cy="9147"/>
            <wp:effectExtent l="0" t="0" r="0" b="0"/>
            <wp:wrapSquare wrapText="bothSides"/>
            <wp:docPr id="1747" name="Picture 17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" name="Picture 17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 целях реализации Федерального закона от </w:t>
      </w:r>
      <w:r w:rsidR="00AF4A29" w:rsidRPr="00AF4A29">
        <w:t>3</w:t>
      </w:r>
      <w:r>
        <w:t xml:space="preserve"> июля 2016 года № 277-ФЗ «О внесении изменений в Федеральный закон «О защите прав юридических лиц и индиви</w:t>
      </w:r>
      <w:r>
        <w:t xml:space="preserve">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 п р и </w:t>
      </w:r>
      <w:proofErr w:type="gramStart"/>
      <w:r>
        <w:t>к</w:t>
      </w:r>
      <w:proofErr w:type="gramEnd"/>
      <w:r>
        <w:t xml:space="preserve"> а з ы в а ю:</w:t>
      </w:r>
    </w:p>
    <w:p w:rsidR="00EE4513" w:rsidRDefault="00590C98">
      <w:pPr>
        <w:numPr>
          <w:ilvl w:val="0"/>
          <w:numId w:val="1"/>
        </w:numPr>
        <w:spacing w:line="262" w:lineRule="auto"/>
        <w:ind w:right="28"/>
      </w:pPr>
      <w:r>
        <w:t>Утвердить прилагаемые изменения, которые вносятся в А</w:t>
      </w:r>
      <w:r>
        <w:t>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цветных металлов, утвержденный при</w:t>
      </w:r>
      <w:r>
        <w:t>казом Министерства экономики Республики Татарстан от 26.03.2013 № 96 (с изменениями, внесенными приказами Министерства экономики Республики Татарстан от 19.03.2015 № 135, от 28.07.2015 № 346, от 02.06.2016 № 177), (далее соответственно — Изменения, Админис</w:t>
      </w:r>
      <w:r>
        <w:t>тративный регламент).</w:t>
      </w:r>
    </w:p>
    <w:p w:rsidR="00EE4513" w:rsidRDefault="00590C98">
      <w:pPr>
        <w:numPr>
          <w:ilvl w:val="0"/>
          <w:numId w:val="1"/>
        </w:numPr>
        <w:spacing w:after="30" w:line="233" w:lineRule="auto"/>
        <w:ind w:right="28"/>
      </w:pPr>
      <w:r>
        <w:t>Установить, что приказ вступает в силу со дня его официального опубликования, за исключением:</w:t>
      </w:r>
    </w:p>
    <w:p w:rsidR="00EE4513" w:rsidRDefault="00590C98" w:rsidP="00AF4A29">
      <w:pPr>
        <w:spacing w:line="256" w:lineRule="auto"/>
        <w:ind w:left="23" w:right="47"/>
      </w:pPr>
      <w:r>
        <w:t>абзацев двенадцатого, тринадцатого, двадцать шестого — тридцать пятого, сорок девятого, пятьдесят восьмого, семьдесят первого - семьдесят ше</w:t>
      </w:r>
      <w:r>
        <w:t>стого, восьмидесятого, восемьдесят первого Изменений, вступающих в силу с 1 января 2017 года.</w:t>
      </w:r>
    </w:p>
    <w:p w:rsidR="00EE4513" w:rsidRDefault="00590C98">
      <w:pPr>
        <w:numPr>
          <w:ilvl w:val="0"/>
          <w:numId w:val="1"/>
        </w:numPr>
        <w:ind w:right="28"/>
      </w:pPr>
      <w:r>
        <w:t xml:space="preserve">Отделу государственных информационных ресурсов и взаимодействия со средствами массовой информации Министерства экономики Республики Татарстан </w:t>
      </w:r>
      <w:r>
        <w:lastRenderedPageBreak/>
        <w:t>(</w:t>
      </w:r>
      <w:proofErr w:type="spellStart"/>
      <w:r>
        <w:t>И.С.Сагитов</w:t>
      </w:r>
      <w:proofErr w:type="spellEnd"/>
      <w:r>
        <w:t>) обеспе</w:t>
      </w:r>
      <w:r>
        <w:t>чить размещение настоящего приказа на сайте Министерства экономики Республики Татарстан.</w:t>
      </w:r>
    </w:p>
    <w:p w:rsidR="00EE4513" w:rsidRDefault="00590C98">
      <w:pPr>
        <w:numPr>
          <w:ilvl w:val="0"/>
          <w:numId w:val="1"/>
        </w:numPr>
        <w:ind w:right="28"/>
      </w:pPr>
      <w:r>
        <w:t xml:space="preserve">Контроль за исполнением настоящего приказа возложить на заместителя министра экономики Республики Татарстан </w:t>
      </w:r>
      <w:proofErr w:type="spellStart"/>
      <w:r>
        <w:t>А.Д.Шамсиева</w:t>
      </w:r>
      <w:proofErr w:type="spellEnd"/>
      <w:r>
        <w:t>.</w:t>
      </w:r>
    </w:p>
    <w:p w:rsidR="00EE4513" w:rsidRDefault="00590C98">
      <w:pPr>
        <w:tabs>
          <w:tab w:val="center" w:pos="7441"/>
          <w:tab w:val="right" w:pos="10253"/>
        </w:tabs>
        <w:spacing w:line="259" w:lineRule="auto"/>
        <w:ind w:left="0" w:righ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633984" cy="932954"/>
            <wp:effectExtent l="0" t="0" r="0" b="0"/>
            <wp:docPr id="2451" name="Picture 24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" name="Picture 24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984" cy="93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А.А.Здунов</w:t>
      </w:r>
      <w:proofErr w:type="spellEnd"/>
      <w:r>
        <w:br w:type="page"/>
      </w:r>
    </w:p>
    <w:p w:rsidR="00EE4513" w:rsidRDefault="00590C98">
      <w:pPr>
        <w:spacing w:after="279" w:line="259" w:lineRule="auto"/>
        <w:ind w:left="19" w:right="0" w:firstLine="0"/>
        <w:jc w:val="center"/>
      </w:pPr>
      <w:r>
        <w:rPr>
          <w:sz w:val="18"/>
        </w:rPr>
        <w:lastRenderedPageBreak/>
        <w:t>З</w:t>
      </w:r>
    </w:p>
    <w:p w:rsidR="00EE4513" w:rsidRDefault="00590C98">
      <w:pPr>
        <w:spacing w:after="48" w:line="259" w:lineRule="auto"/>
        <w:ind w:left="10" w:right="801" w:hanging="10"/>
        <w:jc w:val="right"/>
      </w:pPr>
      <w:r>
        <w:rPr>
          <w:sz w:val="24"/>
        </w:rPr>
        <w:t>Утверждены приказом</w:t>
      </w:r>
    </w:p>
    <w:p w:rsidR="00EE4513" w:rsidRDefault="00590C98">
      <w:pPr>
        <w:spacing w:after="48" w:line="259" w:lineRule="auto"/>
        <w:ind w:left="10" w:right="480" w:hanging="10"/>
        <w:jc w:val="right"/>
      </w:pPr>
      <w:r>
        <w:rPr>
          <w:sz w:val="24"/>
        </w:rPr>
        <w:t>Министерства экономики</w:t>
      </w:r>
    </w:p>
    <w:p w:rsidR="00EE4513" w:rsidRDefault="00590C98">
      <w:pPr>
        <w:spacing w:after="24" w:line="259" w:lineRule="auto"/>
        <w:ind w:left="10" w:right="801" w:hanging="10"/>
        <w:jc w:val="right"/>
      </w:pPr>
      <w:r>
        <w:rPr>
          <w:sz w:val="24"/>
        </w:rPr>
        <w:t>Республики Татарстан</w:t>
      </w:r>
    </w:p>
    <w:p w:rsidR="00EE4513" w:rsidRDefault="00590C98">
      <w:pPr>
        <w:pStyle w:val="1"/>
        <w:tabs>
          <w:tab w:val="center" w:pos="7255"/>
          <w:tab w:val="center" w:pos="8940"/>
        </w:tabs>
        <w:ind w:right="0"/>
        <w:jc w:val="left"/>
      </w:pPr>
      <w:r>
        <w:rPr>
          <w:u w:val="none"/>
        </w:rPr>
        <w:tab/>
      </w:r>
      <w:r w:rsidR="00AF4A29">
        <w:rPr>
          <w:u w:val="none"/>
        </w:rPr>
        <w:t xml:space="preserve">                                    от</w:t>
      </w:r>
      <w:r w:rsidR="00AF4A29" w:rsidRPr="00AF4A29">
        <w:rPr>
          <w:u w:val="none"/>
        </w:rPr>
        <w:t xml:space="preserve"> 16.</w:t>
      </w:r>
      <w:r w:rsidR="00AF4A29">
        <w:rPr>
          <w:u w:val="none"/>
          <w:lang w:val="en-US"/>
        </w:rPr>
        <w:t>12.2016</w:t>
      </w:r>
      <w:r>
        <w:rPr>
          <w:u w:val="none"/>
        </w:rPr>
        <w:t xml:space="preserve"> №</w:t>
      </w:r>
      <w:r>
        <w:rPr>
          <w:noProof/>
        </w:rPr>
        <w:drawing>
          <wp:inline distT="0" distB="0" distL="0" distR="0">
            <wp:extent cx="399288" cy="158541"/>
            <wp:effectExtent l="0" t="0" r="0" b="0"/>
            <wp:docPr id="3703" name="Picture 3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3" name="Picture 37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288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513" w:rsidRDefault="00590C98">
      <w:pPr>
        <w:spacing w:after="353"/>
        <w:ind w:left="23" w:right="28"/>
      </w:pPr>
      <w:r>
        <w:t>Изменения, которые вносятся в Административный регламент исполнения Министерством экономики Республики Татарстан государственной функции по осуществлению лицензионного контроля в сфере заготовки, хранения, переработки и реализации лома черных металлов, цве</w:t>
      </w:r>
      <w:r>
        <w:t>тных металлов, утвержденный приказом Министерства экономики Республики Татарстан от 26.03.2013 № 96</w:t>
      </w:r>
    </w:p>
    <w:p w:rsidR="00EE4513" w:rsidRDefault="00590C98">
      <w:pPr>
        <w:spacing w:after="66" w:line="259" w:lineRule="auto"/>
        <w:ind w:left="730" w:right="28" w:firstLine="0"/>
      </w:pPr>
      <w:r>
        <w:t>В разделе 1 Административного регламента:</w:t>
      </w:r>
    </w:p>
    <w:p w:rsidR="00EE4513" w:rsidRDefault="00590C98">
      <w:pPr>
        <w:spacing w:after="67" w:line="259" w:lineRule="auto"/>
        <w:ind w:left="730" w:right="28" w:firstLine="0"/>
      </w:pPr>
      <w:r>
        <w:t>пункт 1.2 изложить в следующей редакции:</w:t>
      </w:r>
    </w:p>
    <w:p w:rsidR="00EE4513" w:rsidRDefault="00590C98">
      <w:pPr>
        <w:ind w:left="23" w:right="28"/>
      </w:pPr>
      <w:r>
        <w:t>«1.2. Исполнителем государственной функции является Министерство экономик</w:t>
      </w:r>
      <w:r>
        <w:t>и Республики Татарстан (далее — Министерство).</w:t>
      </w:r>
    </w:p>
    <w:p w:rsidR="00EE4513" w:rsidRDefault="00590C98">
      <w:pPr>
        <w:ind w:left="23" w:right="28"/>
      </w:pPr>
      <w:r>
        <w:t>Непосредственным исполнителем государственной функции является отдел лицензирования Управления по вопросам административной реформы Министерства (далее - Отдел).</w:t>
      </w:r>
    </w:p>
    <w:p w:rsidR="00EE4513" w:rsidRDefault="00590C98">
      <w:pPr>
        <w:ind w:left="23" w:right="28"/>
      </w:pPr>
      <w:r>
        <w:t>Государственная функция исполняется должностными лицами Министерства, уполномоченными приказом, подписанным министром экономики Республики Татарстан (далее министр), (заместителем министра экономики Республики Татарстан (далее заместитель министра) на пров</w:t>
      </w:r>
      <w:r>
        <w:t xml:space="preserve">едение проверки (далее </w:t>
      </w:r>
      <w:r>
        <w:rPr>
          <w:noProof/>
        </w:rPr>
        <w:drawing>
          <wp:inline distT="0" distB="0" distL="0" distR="0">
            <wp:extent cx="94489" cy="15244"/>
            <wp:effectExtent l="0" t="0" r="0" b="0"/>
            <wp:docPr id="3704" name="Picture 37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" name="Picture 370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489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должностные лица).</w:t>
      </w:r>
    </w:p>
    <w:p w:rsidR="00EE4513" w:rsidRDefault="00590C98">
      <w:pPr>
        <w:ind w:left="23" w:right="28"/>
      </w:pPr>
      <w:r>
        <w:t xml:space="preserve">Внесение соответствующей информации в единый реестр проверок в соответствии со статьей 13.3 Федерального закона от 26 декабря 2008 года № 294ФЗ «О защите прав юридических лиц и индивидуальных предпринимателей при </w:t>
      </w:r>
      <w:r>
        <w:t xml:space="preserve">осуществлении государственного контроля (надзора) и муниципального контроля» и постановлением Правительства Российской Федерации от 28 апреля 2015 г. № 415 «О правилах формирования и ведения единого реестра проверок» (далее </w:t>
      </w:r>
      <w:r w:rsidR="00AF4A29">
        <w:rPr>
          <w:noProof/>
        </w:rPr>
        <w:t xml:space="preserve">- </w:t>
      </w:r>
      <w:r>
        <w:t xml:space="preserve">постановление Правительства РФ </w:t>
      </w:r>
      <w:r>
        <w:t>№ 415) осуществляется уполномоченным должностным лицом Министерства.</w:t>
      </w:r>
    </w:p>
    <w:p w:rsidR="00EE4513" w:rsidRDefault="00590C98">
      <w:pPr>
        <w:ind w:left="23" w:right="28"/>
      </w:pPr>
      <w:r>
        <w:lastRenderedPageBreak/>
        <w:t>Исполнение государственной функции осуществляется Министерством во взаимодействии с:</w:t>
      </w:r>
    </w:p>
    <w:p w:rsidR="00EE4513" w:rsidRDefault="00590C98">
      <w:pPr>
        <w:numPr>
          <w:ilvl w:val="0"/>
          <w:numId w:val="2"/>
        </w:numPr>
        <w:ind w:right="28"/>
      </w:pPr>
      <w:r>
        <w:t>органами прокуратуры по вопросам о согласовании проведения внеплановых выездных проверок, согласования</w:t>
      </w:r>
      <w:r>
        <w:t xml:space="preserve"> планов проведения плановых проверок;</w:t>
      </w:r>
    </w:p>
    <w:p w:rsidR="00EE4513" w:rsidRDefault="00590C98">
      <w:pPr>
        <w:numPr>
          <w:ilvl w:val="0"/>
          <w:numId w:val="2"/>
        </w:numPr>
        <w:spacing w:after="1" w:line="330" w:lineRule="auto"/>
        <w:ind w:right="28"/>
      </w:pPr>
      <w:r>
        <w:t xml:space="preserve">юридическими лицами, гражданами по их обращениям; </w:t>
      </w:r>
      <w:r>
        <w:rPr>
          <w:noProof/>
        </w:rPr>
        <w:drawing>
          <wp:inline distT="0" distB="0" distL="0" distR="0">
            <wp:extent cx="48768" cy="18293"/>
            <wp:effectExtent l="0" t="0" r="0" b="0"/>
            <wp:docPr id="5415" name="Picture 5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5" name="Picture 54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экспертами</w:t>
      </w:r>
      <w:r>
        <w:tab/>
        <w:t>гражданами, не являющимися индивидуальными предпринимателями, имеющие специальные знания, опыт по проведению технической экспертизы в области государственн</w:t>
      </w:r>
      <w:r>
        <w:t>ого лицензионного контроля в сфере заготовки, хранения, переработки и реализации лома черных металлов, цветных металлов, аттестованными Министерством в установленном порядке в целях привлечения к проведению мероприятий по контролю;</w:t>
      </w:r>
    </w:p>
    <w:p w:rsidR="00EE4513" w:rsidRDefault="00590C98">
      <w:pPr>
        <w:numPr>
          <w:ilvl w:val="0"/>
          <w:numId w:val="2"/>
        </w:numPr>
        <w:ind w:right="28"/>
      </w:pPr>
      <w:r>
        <w:t>экспертными организациям</w:t>
      </w:r>
      <w:r>
        <w:t>и - юридическими лицами, индивидуальными предпринимателями, которые аккредитованы в соответствии с законодательством Российской Федерации об аккредитации в национальной системе аккредитации и привлекаются Министерством к проведению мероприятий по контролю.</w:t>
      </w:r>
      <w:r>
        <w:t>»; в пункте 1.6.3 подпункт изложить в следующей редакции:</w:t>
      </w:r>
    </w:p>
    <w:p w:rsidR="00EE4513" w:rsidRDefault="00590C98">
      <w:pPr>
        <w:numPr>
          <w:ilvl w:val="0"/>
          <w:numId w:val="3"/>
        </w:numPr>
        <w:ind w:right="28"/>
      </w:pPr>
      <w:r>
        <w:t xml:space="preserve">1) требовать от соискателя лицензии, лицензиата представления документов, информации до даты начала проведения проверки. Министерство после принятия приказа о проведении проверки вправе запрашивать </w:t>
      </w:r>
      <w:r>
        <w:t>необходимые документы и (или) информацию в рамках межведомственного информационного взаимодействия.»; пункт 1.8 изложить в следующей редакции:</w:t>
      </w:r>
    </w:p>
    <w:p w:rsidR="00EE4513" w:rsidRDefault="00590C98">
      <w:pPr>
        <w:spacing w:after="79" w:line="259" w:lineRule="auto"/>
        <w:ind w:left="749" w:right="28" w:firstLine="0"/>
      </w:pPr>
      <w:r>
        <w:t>1.8. Результаты исполнения государственной функции</w:t>
      </w:r>
    </w:p>
    <w:p w:rsidR="00EE4513" w:rsidRDefault="00590C98">
      <w:pPr>
        <w:spacing w:after="115" w:line="250" w:lineRule="auto"/>
        <w:ind w:left="715" w:right="0" w:firstLine="0"/>
        <w:jc w:val="left"/>
      </w:pPr>
      <w:r>
        <w:rPr>
          <w:sz w:val="26"/>
        </w:rPr>
        <w:t>Конечными результатами исполнения государственной функции явля</w:t>
      </w:r>
      <w:r>
        <w:rPr>
          <w:sz w:val="26"/>
        </w:rPr>
        <w:t>ются:</w:t>
      </w:r>
    </w:p>
    <w:p w:rsidR="00EE4513" w:rsidRDefault="00590C98">
      <w:pPr>
        <w:numPr>
          <w:ilvl w:val="0"/>
          <w:numId w:val="4"/>
        </w:numPr>
        <w:ind w:right="28"/>
      </w:pPr>
      <w:r>
        <w:t>акт проверки соблюдения соискателем лицензии, лицензиатом лицензионных требований законодательства в сфере заготовки, хранения, переработки и реализации лома черных металлов, цветных металлов (далее — акт проверки), составленный по форме, утвержденно</w:t>
      </w:r>
      <w:r>
        <w:t>й приказом Минэкономразвития РФ №141, в 2-х экземплярах;</w:t>
      </w:r>
    </w:p>
    <w:p w:rsidR="00EE4513" w:rsidRDefault="00590C98">
      <w:pPr>
        <w:numPr>
          <w:ilvl w:val="0"/>
          <w:numId w:val="4"/>
        </w:numPr>
        <w:ind w:right="28"/>
      </w:pPr>
      <w:r>
        <w:t>соответствующая информация, внесенная в единый реестр проверок в соответствии со статьей 13.3 Федерального закона № 294-ФЗ и постановлением Правительства РФ № 415;</w:t>
      </w:r>
    </w:p>
    <w:p w:rsidR="00EE4513" w:rsidRDefault="00590C98">
      <w:pPr>
        <w:ind w:left="23" w:right="28"/>
      </w:pPr>
      <w:r>
        <w:t>З) запись о проведенной выездной пр</w:t>
      </w:r>
      <w:r>
        <w:t>оверке в журнале учета проверок, при его наличии (типовая форма журнала учета проверок утверждена приказом</w:t>
      </w:r>
    </w:p>
    <w:p w:rsidR="00EE4513" w:rsidRDefault="00590C98">
      <w:pPr>
        <w:ind w:left="724" w:right="2995" w:hanging="701"/>
      </w:pPr>
      <w:r>
        <w:lastRenderedPageBreak/>
        <w:t>Минэкономразвития РФ № 141); при выявлении нарушений лицензионных требований:</w:t>
      </w:r>
    </w:p>
    <w:p w:rsidR="00EE4513" w:rsidRDefault="00590C98">
      <w:pPr>
        <w:numPr>
          <w:ilvl w:val="0"/>
          <w:numId w:val="5"/>
        </w:numPr>
        <w:ind w:right="28"/>
      </w:pPr>
      <w:r>
        <w:t xml:space="preserve">предписание об устранении выявленных нарушений лицензионных требований </w:t>
      </w:r>
      <w:r>
        <w:t>с указанием сроков их устранения и (или) о проведении соответствующих мероприятий, подписанное министром (заместителем министра) (далее предписание), оформленное с учетом требований, предусмотренных</w:t>
      </w:r>
    </w:p>
    <w:p w:rsidR="00EE4513" w:rsidRDefault="00590C98">
      <w:pPr>
        <w:ind w:left="23" w:right="28" w:firstLine="0"/>
      </w:pPr>
      <w:r>
        <w:t>подпунктом 1 пункта 1 статьи 17 Федерального закона № 294-ФЗ (приложение № 1 к настоящему Регламенту);</w:t>
      </w:r>
    </w:p>
    <w:p w:rsidR="00EE4513" w:rsidRDefault="00590C98">
      <w:pPr>
        <w:numPr>
          <w:ilvl w:val="0"/>
          <w:numId w:val="5"/>
        </w:numPr>
        <w:ind w:right="28"/>
      </w:pPr>
      <w:r>
        <w:t>принятие мер по контролю за устранением выявленных нарушений, их предупреждению, предотвращению возможного причинения вреда жизни, здоровью граждан, вред</w:t>
      </w:r>
      <w:r>
        <w:t>а животным, растениям, окружающей среде, объектам культурного наследия (памятникам истории и культуры) народов Российской Федерации, обеспечению безопасности государства, предупреждению возникновения чрезвычайных ситуаций природного и техногенного характер</w:t>
      </w:r>
      <w:r>
        <w:t>а, а также меры по привлечению лиц, допустивших выявленные нарушения, к ответственности.</w:t>
      </w:r>
    </w:p>
    <w:p w:rsidR="00EE4513" w:rsidRDefault="00590C98">
      <w:pPr>
        <w:ind w:left="23" w:right="28"/>
      </w:pPr>
      <w:r>
        <w:t>В случае, если основанием для исполнения государственной функции является поступление в Министерство обращений и заявлений граждан, в том числе индивидуальных предприн</w:t>
      </w:r>
      <w:r>
        <w:t>имателей, юридических лиц, информации от органов государственной власти, органов местного самоуправления, из средств массовой информации (далее — заявитель), по результатам исполнения государственной функции заявителю направляется ответ в порядке, установл</w:t>
      </w:r>
      <w:r>
        <w:t>енном Федеральным законом № 59-ФЗ.</w:t>
      </w:r>
    </w:p>
    <w:p w:rsidR="00EE4513" w:rsidRDefault="00590C98">
      <w:pPr>
        <w:ind w:left="23" w:right="28"/>
      </w:pPr>
      <w:r>
        <w:t>В случае, если в ходе мероприятия по контролю стало известно, что деятельность лицензиата, являющаяся объектом проведения мероприятия по контролю, связана с нарушениями требований законодательства, вопросы выявления, пред</w:t>
      </w:r>
      <w:r>
        <w:t>отвращения и пресечения которых не относятся к компетенции Министерства, Министерство обязано направить в соответствующие уполномоченные органы государственной власти Российской Федерации или</w:t>
      </w:r>
    </w:p>
    <w:p w:rsidR="00EE4513" w:rsidRDefault="00590C98">
      <w:pPr>
        <w:ind w:left="724" w:right="1690" w:hanging="701"/>
      </w:pPr>
      <w:r>
        <w:t>Республики Татарстан информацию (сведения) о таких нарушениях.»;</w:t>
      </w:r>
      <w:r>
        <w:t xml:space="preserve"> в разделе 2 Административного регламента:</w:t>
      </w:r>
    </w:p>
    <w:p w:rsidR="00EE4513" w:rsidRDefault="00590C98">
      <w:pPr>
        <w:spacing w:after="58" w:line="259" w:lineRule="auto"/>
        <w:ind w:left="720" w:right="28" w:firstLine="0"/>
      </w:pPr>
      <w:r>
        <w:t>пункт 2.1.5 изложить в следующей редакции:</w:t>
      </w:r>
    </w:p>
    <w:p w:rsidR="00EE4513" w:rsidRDefault="00590C98">
      <w:pPr>
        <w:ind w:left="23" w:right="28"/>
      </w:pPr>
      <w:r>
        <w:t>«2.1.5.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</w:t>
      </w:r>
      <w:r>
        <w:t>ующих нарушениям обязательных требований, Министерство осуществляет мероприятия по профилактике нарушений обязательных требований в соответствии с ежегодно утверждаемыми им программами профилактики нарушений.</w:t>
      </w:r>
    </w:p>
    <w:p w:rsidR="00EE4513" w:rsidRDefault="00590C98">
      <w:pPr>
        <w:ind w:left="23" w:right="28"/>
      </w:pPr>
      <w:r>
        <w:t>На официальном сайте Министерства, на Портале г</w:t>
      </w:r>
      <w:r>
        <w:t>осударственных и муниципальных услуг Республики Татарстан, на информационном стенде в помещении Министерства специалистом Отдела размещается и обновляется по мере внесения изменений следующая информация:</w:t>
      </w:r>
    </w:p>
    <w:p w:rsidR="00EE4513" w:rsidRDefault="00590C98">
      <w:pPr>
        <w:numPr>
          <w:ilvl w:val="0"/>
          <w:numId w:val="6"/>
        </w:numPr>
        <w:spacing w:after="1" w:line="330" w:lineRule="auto"/>
        <w:ind w:right="28"/>
      </w:pPr>
      <w:r>
        <w:t>об основных положениях законодательства Российской Ф</w:t>
      </w:r>
      <w:r>
        <w:t xml:space="preserve">едерации и Республики Татарстан, касающихся порядка исполнения государственной функции; </w:t>
      </w:r>
      <w:r>
        <w:rPr>
          <w:noProof/>
        </w:rPr>
        <w:drawing>
          <wp:inline distT="0" distB="0" distL="0" distR="0">
            <wp:extent cx="45720" cy="21342"/>
            <wp:effectExtent l="0" t="0" r="0" b="0"/>
            <wp:docPr id="8833" name="Picture 8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" name="Picture 883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перечень нормативных правовых актов или их отдельных частей, содержащих обязательные требования, оценка соблюдения которых является предметом лицензионного контроля, </w:t>
      </w:r>
      <w:r>
        <w:t xml:space="preserve">а также тексты соответствующих нормативных правовых актов; </w:t>
      </w:r>
      <w:r>
        <w:rPr>
          <w:noProof/>
        </w:rPr>
        <w:drawing>
          <wp:inline distT="0" distB="0" distL="0" distR="0">
            <wp:extent cx="48768" cy="21342"/>
            <wp:effectExtent l="0" t="0" r="0" b="0"/>
            <wp:docPr id="8834" name="Picture 88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4" name="Picture 88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программа профилактики нарушений,</w:t>
      </w:r>
      <w:r>
        <w:tab/>
        <w:t>утвержденная приказом Министерства;</w:t>
      </w:r>
    </w:p>
    <w:p w:rsidR="00EE4513" w:rsidRDefault="00590C98">
      <w:pPr>
        <w:numPr>
          <w:ilvl w:val="0"/>
          <w:numId w:val="6"/>
        </w:numPr>
        <w:ind w:right="28"/>
      </w:pPr>
      <w:r>
        <w:t>обобщение практики осуществления государственного контроля, в том числе с указанием наиболее часто встречающихся случаев нару</w:t>
      </w:r>
      <w:r>
        <w:t xml:space="preserve">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 </w:t>
      </w:r>
      <w:r>
        <w:rPr>
          <w:noProof/>
        </w:rPr>
        <w:drawing>
          <wp:inline distT="0" distB="0" distL="0" distR="0">
            <wp:extent cx="48768" cy="21342"/>
            <wp:effectExtent l="0" t="0" r="0" b="0"/>
            <wp:docPr id="8835" name="Picture 88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5" name="Picture 883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для соискателей лицензий, лицензиатов по вопросам соблюдения лицензионн</w:t>
      </w:r>
      <w:r>
        <w:t>ых требований, в том числе посредством разработки и опубликования руководств по соблюдению лицензионных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EE4513" w:rsidRDefault="00590C98">
      <w:pPr>
        <w:numPr>
          <w:ilvl w:val="0"/>
          <w:numId w:val="6"/>
        </w:numPr>
        <w:ind w:right="28"/>
      </w:pPr>
      <w:r>
        <w:t>в случае изменения лицензионны</w:t>
      </w:r>
      <w:r>
        <w:t>х требований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</w:t>
      </w:r>
      <w:r>
        <w:t>ых, технических мероприятий, направленных на внедрение и обеспечение соблюдения обязательных требований;</w:t>
      </w:r>
    </w:p>
    <w:p w:rsidR="00EE4513" w:rsidRDefault="00590C98">
      <w:pPr>
        <w:numPr>
          <w:ilvl w:val="0"/>
          <w:numId w:val="6"/>
        </w:numPr>
        <w:ind w:right="28"/>
      </w:pPr>
      <w:r>
        <w:t>обобщения практики осуществления лицензионного контроля, выполняемые не реже одного раза в год, в том числе с указанием наиболее часто встречающихся сл</w:t>
      </w:r>
      <w:r>
        <w:t>учаев нарушений лицензионных требований с рекомендациями в отношении мер, которые должны приниматься соискателями лицензий, лицензиатами в целях недопущения таких нарушений;</w:t>
      </w:r>
    </w:p>
    <w:p w:rsidR="00EE4513" w:rsidRDefault="00590C98">
      <w:pPr>
        <w:numPr>
          <w:ilvl w:val="0"/>
          <w:numId w:val="6"/>
        </w:numPr>
        <w:spacing w:after="71" w:line="259" w:lineRule="auto"/>
        <w:ind w:right="28"/>
      </w:pPr>
      <w:r>
        <w:t>настоящий Регламент;</w:t>
      </w:r>
    </w:p>
    <w:p w:rsidR="00EE4513" w:rsidRDefault="00590C98">
      <w:pPr>
        <w:numPr>
          <w:ilvl w:val="0"/>
          <w:numId w:val="6"/>
        </w:numPr>
        <w:ind w:right="28"/>
      </w:pPr>
      <w:r>
        <w:t>ежегодный план проведения плановых проверок, утвержденный при</w:t>
      </w:r>
      <w:r>
        <w:t xml:space="preserve">казом Министерства (далее — План); </w:t>
      </w:r>
      <w:r>
        <w:rPr>
          <w:noProof/>
        </w:rPr>
        <w:drawing>
          <wp:inline distT="0" distB="0" distL="0" distR="0">
            <wp:extent cx="48768" cy="21342"/>
            <wp:effectExtent l="0" t="0" r="0" b="0"/>
            <wp:docPr id="8836" name="Picture 88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6" name="Picture 883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место нахождения, график работы, номера телефонов и факса, адрес электронной почты Министерства;</w:t>
      </w:r>
    </w:p>
    <w:p w:rsidR="00EE4513" w:rsidRDefault="00590C98">
      <w:pPr>
        <w:numPr>
          <w:ilvl w:val="0"/>
          <w:numId w:val="6"/>
        </w:numPr>
        <w:spacing w:after="69" w:line="259" w:lineRule="auto"/>
        <w:ind w:right="28"/>
      </w:pPr>
      <w:r>
        <w:t>порядок обжалования действий (бездействия) и решений, осуществляемых</w:t>
      </w:r>
    </w:p>
    <w:p w:rsidR="00EE4513" w:rsidRDefault="00590C98">
      <w:pPr>
        <w:spacing w:line="259" w:lineRule="auto"/>
        <w:ind w:left="23" w:right="28" w:firstLine="0"/>
      </w:pPr>
      <w:r>
        <w:t>(принятых) в ходе исполнения государственной функции;</w:t>
      </w:r>
    </w:p>
    <w:p w:rsidR="00EE4513" w:rsidRDefault="00590C98">
      <w:pPr>
        <w:numPr>
          <w:ilvl w:val="0"/>
          <w:numId w:val="6"/>
        </w:numPr>
        <w:ind w:right="28"/>
      </w:pPr>
      <w:r>
        <w:t>блок-схема, отображающая последовательность действий при исполнении государственной функции.»; подраздел 2.3 изложить в следующей редакции:</w:t>
      </w:r>
    </w:p>
    <w:p w:rsidR="00EE4513" w:rsidRDefault="00590C98">
      <w:pPr>
        <w:spacing w:after="444"/>
        <w:ind w:left="754" w:right="28" w:firstLine="0"/>
      </w:pPr>
      <w:r>
        <w:t>«2.3. Сроки и периодичность исполнения государственной функции</w:t>
      </w:r>
    </w:p>
    <w:p w:rsidR="00EE4513" w:rsidRDefault="00590C98">
      <w:pPr>
        <w:ind w:left="23" w:right="28"/>
      </w:pPr>
      <w:r>
        <w:t>Срок проведения каждой из проверок (плановой, внепла</w:t>
      </w:r>
      <w:r>
        <w:t>новой, выездной, документарной) не может превышать двадцать рабочих дней.</w:t>
      </w:r>
    </w:p>
    <w:p w:rsidR="00EE4513" w:rsidRDefault="00590C98">
      <w:pPr>
        <w:ind w:left="23" w:right="28"/>
      </w:pPr>
      <w: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</w:t>
      </w:r>
      <w:r>
        <w:t xml:space="preserve">ля </w:t>
      </w:r>
      <w:proofErr w:type="spellStart"/>
      <w:r>
        <w:t>микропредприятия</w:t>
      </w:r>
      <w:proofErr w:type="spellEnd"/>
      <w:r>
        <w:t xml:space="preserve"> в год.</w:t>
      </w:r>
    </w:p>
    <w:p w:rsidR="00EE4513" w:rsidRDefault="00590C98">
      <w:pPr>
        <w:ind w:left="23" w:right="28"/>
      </w:pPr>
      <w: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Министерства, прово</w:t>
      </w:r>
      <w:r>
        <w:t xml:space="preserve">дящих выездную плановую проверку, срок проведения </w:t>
      </w:r>
      <w:r>
        <w:rPr>
          <w:noProof/>
        </w:rPr>
        <w:drawing>
          <wp:inline distT="0" distB="0" distL="0" distR="0">
            <wp:extent cx="9144" cy="12196"/>
            <wp:effectExtent l="0" t="0" r="0" b="0"/>
            <wp:docPr id="10575" name="Picture 105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5" name="Picture 1057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выездной плановой проверки может быть продлен министром, но не более чем на двадцать рабочих дней, в отношении малых предприятий не более чем на пятьдесят часов, </w:t>
      </w:r>
      <w:proofErr w:type="spellStart"/>
      <w:r>
        <w:t>микропредприятий</w:t>
      </w:r>
      <w:proofErr w:type="spellEnd"/>
      <w:r>
        <w:t xml:space="preserve"> не более чем на пятнадцать</w:t>
      </w:r>
      <w:r>
        <w:t xml:space="preserve"> часов.</w:t>
      </w:r>
    </w:p>
    <w:p w:rsidR="00EE4513" w:rsidRDefault="00590C98">
      <w:pPr>
        <w:ind w:left="23" w:right="28"/>
      </w:pPr>
      <w:r>
        <w:t>При проведении плановой выездной проверки в отношении субъекта малого предпринимательства в случае необходимости получения документов и (или) информации в рамках межведомственного информационного взаимодействия проведение проверки может быть приост</w:t>
      </w:r>
      <w:r>
        <w:t>ановлено министром (заместителем министра)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допускается. На период действия сро</w:t>
      </w:r>
      <w:r>
        <w:t>ка приостановления проведения проверки приостанавливаются связанные с указанной проверкой действия Министерства на территории, в зданиях, строениях, сооружениях, помещениях, на иных объектах субъекта малого предпринимательства.</w:t>
      </w:r>
    </w:p>
    <w:p w:rsidR="00EE4513" w:rsidRDefault="00590C98">
      <w:pPr>
        <w:ind w:left="23" w:right="28"/>
      </w:pPr>
      <w:r>
        <w:t>Срок проведения каждой из пр</w:t>
      </w:r>
      <w:r>
        <w:t>оверок (как документарной, так и выездной) в отношении лицензиата, осуществляющего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</w:t>
      </w:r>
      <w:r>
        <w:t>делению юридического лица, при этом общий срок проведения проверки не может превышать шестьдесят рабочих дней.</w:t>
      </w:r>
    </w:p>
    <w:p w:rsidR="00EE4513" w:rsidRDefault="00590C98">
      <w:pPr>
        <w:spacing w:line="259" w:lineRule="auto"/>
        <w:ind w:left="701" w:right="28" w:firstLine="0"/>
      </w:pPr>
      <w:r>
        <w:t>Плановые проверки проводятся не чаще чем один раз в три года.»;</w:t>
      </w:r>
    </w:p>
    <w:p w:rsidR="00EE4513" w:rsidRDefault="00590C98">
      <w:pPr>
        <w:spacing w:after="69" w:line="259" w:lineRule="auto"/>
        <w:ind w:left="10" w:right="33" w:hanging="10"/>
        <w:jc w:val="right"/>
      </w:pPr>
      <w:r>
        <w:t>пункт 2.4.1 после слов «на основании разрабатываемого» дополнить словами</w:t>
      </w:r>
    </w:p>
    <w:p w:rsidR="00EE4513" w:rsidRDefault="00590C98">
      <w:pPr>
        <w:ind w:left="719" w:right="4080" w:hanging="696"/>
      </w:pPr>
      <w:r>
        <w:t>«и утвер</w:t>
      </w:r>
      <w:r>
        <w:t>ждаемого»; пункт 2.4.2 изложить в следующей редакции:</w:t>
      </w:r>
    </w:p>
    <w:p w:rsidR="00EE4513" w:rsidRDefault="00590C98">
      <w:pPr>
        <w:spacing w:after="59" w:line="259" w:lineRule="auto"/>
        <w:ind w:left="754" w:right="28" w:firstLine="0"/>
      </w:pPr>
      <w:r>
        <w:t>«24.2. Основаниями для проведения внеплановой проверки являются:</w:t>
      </w:r>
    </w:p>
    <w:p w:rsidR="00EE4513" w:rsidRDefault="00590C98">
      <w:pPr>
        <w:numPr>
          <w:ilvl w:val="0"/>
          <w:numId w:val="7"/>
        </w:numPr>
        <w:spacing w:after="27"/>
        <w:ind w:right="28"/>
      </w:pPr>
      <w:r>
        <w:t>истечение срока исполнения лицензиатом ранее выданного Министерством предписания об устранении выявленных нарушений лицензионных требован</w:t>
      </w:r>
      <w:r>
        <w:t>ий, в этом случае предметом проверки может являться только исполнение выданного Министерством предписания;</w:t>
      </w:r>
    </w:p>
    <w:p w:rsidR="00EE4513" w:rsidRDefault="00590C98">
      <w:pPr>
        <w:numPr>
          <w:ilvl w:val="0"/>
          <w:numId w:val="7"/>
        </w:numPr>
        <w:ind w:right="28"/>
      </w:pPr>
      <w:r>
        <w:t>поступление в Министерство обращений,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средств массовой информации о фактах грубых нарушений лице</w:t>
      </w:r>
      <w:r>
        <w:t>нзиатом лицензионных требований;</w:t>
      </w:r>
    </w:p>
    <w:p w:rsidR="00EE4513" w:rsidRDefault="00590C98">
      <w:pPr>
        <w:numPr>
          <w:ilvl w:val="0"/>
          <w:numId w:val="7"/>
        </w:numPr>
        <w:ind w:right="28"/>
      </w:pPr>
      <w:r>
        <w:t>наличие ходатайства лицензиата о проведении Министерством внеплановой выездной проверки в целях установления факта досрочного исполнения предписания Министерства;</w:t>
      </w:r>
    </w:p>
    <w:p w:rsidR="00EE4513" w:rsidRDefault="00590C98">
      <w:pPr>
        <w:numPr>
          <w:ilvl w:val="0"/>
          <w:numId w:val="7"/>
        </w:numPr>
        <w:ind w:right="28"/>
      </w:pPr>
      <w:r>
        <w:t>наличие приказа Министерства, изданного в соответствии с пор</w:t>
      </w:r>
      <w:r>
        <w:t>учением Президента Российской Федерации или Правительства Российской Федерации;</w:t>
      </w:r>
    </w:p>
    <w:p w:rsidR="00EE4513" w:rsidRDefault="00590C98">
      <w:pPr>
        <w:numPr>
          <w:ilvl w:val="0"/>
          <w:numId w:val="7"/>
        </w:numPr>
        <w:ind w:right="28"/>
      </w:pPr>
      <w:r>
        <w:t xml:space="preserve">представление заявления соискателя лицензии о предоставлении лицензии или лицензиата о переоформлении лицензии (в случаях, предусмотренных статьями 13 и 18 Федерального закона </w:t>
      </w:r>
      <w:r>
        <w:t>№ 99-ФЗ, лицензирующим органом проводятся документарные проверки и внеплановые выездные проверки без согласования в установленном порядке с органом прокуратуры).»; дополнить пунктами 2.4.3 — 2.4.10 следующего содержания:</w:t>
      </w:r>
    </w:p>
    <w:p w:rsidR="00EE4513" w:rsidRDefault="00590C98">
      <w:pPr>
        <w:ind w:left="23" w:right="28"/>
      </w:pPr>
      <w:r>
        <w:t>«2.43. Обращения и заявления, не по</w:t>
      </w:r>
      <w:r>
        <w:t>зволяющие установить лицо, обратившееся в Министерство, а также обращения и заявления, не содержащие сведений о фактах, указанных в подпункте 2 пункта 2.4.2 настоящего Регламента, не могут служить основанием для проведения внеплановой проверки. В случае, е</w:t>
      </w:r>
      <w:r>
        <w:t>сли изложенная в обращении или заявлении информация может в соответствии с подпунктом 2 пункта 2.4.2 настоящего Регламента являться основанием для проведения внеплановой проверки, должностное лицо Министерства при наличии у него обоснованных сомнений в авт</w:t>
      </w:r>
      <w:r>
        <w:t xml:space="preserve">орстве обращения или заявления обязано принять разумные меры к установлению обратившегося лица.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</w:t>
      </w:r>
      <w:r>
        <w:t>что они были направлены заявителем с использованием средств информационно</w:t>
      </w:r>
      <w:r w:rsidR="00AF4A29">
        <w:t>-</w:t>
      </w:r>
      <w:r>
        <w:t>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EE4513" w:rsidRDefault="00590C98">
      <w:pPr>
        <w:numPr>
          <w:ilvl w:val="1"/>
          <w:numId w:val="8"/>
        </w:numPr>
        <w:ind w:right="28"/>
      </w:pPr>
      <w:r>
        <w:t>Исчерпывающий перечень грубых нарушений лицензионных</w:t>
      </w:r>
      <w:r>
        <w:t xml:space="preserve"> требований при осуществлении деятельности по заготовке, хранению, переработке и реализации лома черных металлов, цветных металлов устанавливается Положением о лицензировании деятельности по заготовке, хранению, переработке и реализации лома черных металло</w:t>
      </w:r>
      <w:r>
        <w:t>в, цветных металлов, утвержденным постановлением Правительства РФ № 1287 (далее - Положение о лицензировании). При этом к таким нарушениям лицензионных требований могут относиться нарушения, повлекшие за собой:</w:t>
      </w:r>
    </w:p>
    <w:p w:rsidR="00EE4513" w:rsidRDefault="00590C98">
      <w:pPr>
        <w:ind w:left="23" w:right="28"/>
      </w:pPr>
      <w:r>
        <w:t>а) возникновение угрозы причинения вреда жизн</w:t>
      </w:r>
      <w:r>
        <w:t>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а также угрозы чрезвычайных ситуаций техногенного характера;</w:t>
      </w:r>
    </w:p>
    <w:p w:rsidR="00EE4513" w:rsidRDefault="00590C98">
      <w:pPr>
        <w:ind w:left="23" w:right="28"/>
      </w:pPr>
      <w:r>
        <w:t>б) человеческие жертвы или причинение</w:t>
      </w:r>
      <w:r>
        <w:t xml:space="preserve"> тяжкого вреда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</w:t>
      </w:r>
      <w:r>
        <w:t>ие чрезвычайных ситуаций техногенного характера, нанесение ущерба правам, законным интересам граждан, обороне страны и безопасности государства.</w:t>
      </w:r>
    </w:p>
    <w:p w:rsidR="00EE4513" w:rsidRDefault="00590C98">
      <w:pPr>
        <w:numPr>
          <w:ilvl w:val="1"/>
          <w:numId w:val="8"/>
        </w:numPr>
        <w:ind w:right="28"/>
      </w:pPr>
      <w:r>
        <w:t>При рассмотрении обращений и заявлений, информации о фактах, указанных в подпункте 2 пункта 2.4.2 настоящего Ре</w:t>
      </w:r>
      <w:r>
        <w:t>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 мероприятий по контролю в отношении соответствующих лицензиатов.</w:t>
      </w:r>
    </w:p>
    <w:p w:rsidR="00EE4513" w:rsidRDefault="00590C98">
      <w:pPr>
        <w:numPr>
          <w:ilvl w:val="1"/>
          <w:numId w:val="8"/>
        </w:numPr>
        <w:ind w:right="28"/>
      </w:pPr>
      <w:r>
        <w:t>При отсутствии достоверной информации о</w:t>
      </w:r>
      <w:r>
        <w:t xml:space="preserve"> лице, допустившем нарушение обязательных требований, достаточных данных о нарушении обязательных требований либо о фактах, указанных в подпункте 2 пункта 2.4.2 настоящего Регламента, уполномоченными должностными лицами Министерства может быть проведена пр</w:t>
      </w:r>
      <w:r>
        <w:t>едварительная проверка поступившей информации. 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</w:t>
      </w:r>
      <w:r>
        <w:t>оводится рассмотрение документов лицензиата, имеющихся в распоряжении Министерства. В рамках предварительной проверки у лицензиата могут быть запрошены пояснения в</w:t>
      </w:r>
    </w:p>
    <w:p w:rsidR="00EE4513" w:rsidRDefault="00590C98">
      <w:pPr>
        <w:ind w:left="23" w:right="28" w:firstLine="5"/>
      </w:pPr>
      <w:r>
        <w:t>отношении полученной информации, но представление таких пояснений и иных документов не является обязательным.</w:t>
      </w:r>
    </w:p>
    <w:p w:rsidR="00EE4513" w:rsidRDefault="00590C98">
      <w:pPr>
        <w:ind w:left="23" w:right="28"/>
      </w:pPr>
      <w:r>
        <w:t>2.4.7. При выявлении по результатам предварительной проверки лиц, допустивших нарушение обязательных требований, получении достат</w:t>
      </w:r>
      <w:r>
        <w:t>очных данных о нарушении обязательных требований либо о фактах, указанных подпункте 2 пункта 2.4.2 настоящего Регламента, уполномоченное должностное лицо Министерства подготавливает мотивированное представление о назначении внеплановой проверки по основани</w:t>
      </w:r>
      <w:r>
        <w:t>ям, указанным в подпункте 2 пункта 2.4.2 настоящего Регламента. По результатам предварительной проверки меры по привлечению лицензиата к ответственности не принимаются.</w:t>
      </w:r>
    </w:p>
    <w:p w:rsidR="00EE4513" w:rsidRDefault="00590C98">
      <w:pPr>
        <w:numPr>
          <w:ilvl w:val="1"/>
          <w:numId w:val="9"/>
        </w:numPr>
        <w:ind w:right="28"/>
      </w:pPr>
      <w:r>
        <w:t>По решению министра (заместителя министра) предварительная проверка, внеплановая провер</w:t>
      </w:r>
      <w:r>
        <w:t>ка прекращаются, если после начала соответствующей проверки выявлена анонимность обращения или заявления, явившихся поводом для ее организации, либо установлены заведомо недостоверные сведения, содержащиеся в обращении или заявлении.</w:t>
      </w:r>
    </w:p>
    <w:p w:rsidR="00EE4513" w:rsidRDefault="00590C98">
      <w:pPr>
        <w:numPr>
          <w:ilvl w:val="1"/>
          <w:numId w:val="9"/>
        </w:numPr>
        <w:ind w:right="28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704088</wp:posOffset>
            </wp:positionH>
            <wp:positionV relativeFrom="page">
              <wp:posOffset>9555156</wp:posOffset>
            </wp:positionV>
            <wp:extent cx="3048" cy="3049"/>
            <wp:effectExtent l="0" t="0" r="0" b="0"/>
            <wp:wrapSquare wrapText="bothSides"/>
            <wp:docPr id="16027" name="Picture 16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7" name="Picture 1602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Министерство вправе о</w:t>
      </w:r>
      <w:r>
        <w:t>братиться в суд с иском о взыскании с гражданина, в том числе с юридического лица, индивидуального предпринимателя, расходов, понесенных Министерством в связи с рассмотрением поступивших заявлений, обращений указанных лиц, если в заявлениях, обращениях был</w:t>
      </w:r>
      <w:r>
        <w:t>и указаны заведомо ложные сведения.</w:t>
      </w:r>
    </w:p>
    <w:p w:rsidR="00EE4513" w:rsidRDefault="00590C98">
      <w:pPr>
        <w:ind w:left="23" w:right="28"/>
      </w:pPr>
      <w:r>
        <w:t>2.4.10. Внеплановая выездная проверка лицензиата может быть проведена по основанию, указанному в подпункте 2 пункта 2.4.2 настоящего Регламента, после согласования в установленном порядке с органом прокуратуры по месту о</w:t>
      </w:r>
      <w:r>
        <w:t>существления лицензируемого вида деятельности без направления предварительного уведомления лицензиату.</w:t>
      </w:r>
    </w:p>
    <w:p w:rsidR="00EE4513" w:rsidRDefault="00590C98">
      <w:pPr>
        <w:ind w:left="23" w:right="28"/>
      </w:pPr>
      <w:r>
        <w:t>Типовая форма заявления о согласовании Министерством с органом прокуратуры проведения внеплановой выездной проверки утверждена приказом Минэкономразвития</w:t>
      </w:r>
      <w:r w:rsidR="00AF4A29">
        <w:t xml:space="preserve"> России № 141</w:t>
      </w:r>
      <w:r>
        <w:t>»; в разделе 5 Административного регламента:</w:t>
      </w:r>
    </w:p>
    <w:p w:rsidR="00EE4513" w:rsidRDefault="00AF4A29">
      <w:pPr>
        <w:ind w:left="706" w:right="7421" w:firstLine="0"/>
      </w:pPr>
      <w:r>
        <w:t>в подразделе 5.1</w:t>
      </w:r>
      <w:r w:rsidR="00590C98">
        <w:t>: в пункте 5.1.5:</w:t>
      </w:r>
    </w:p>
    <w:p w:rsidR="00EE4513" w:rsidRDefault="00590C98">
      <w:pPr>
        <w:spacing w:after="85" w:line="259" w:lineRule="auto"/>
        <w:ind w:left="706" w:right="28" w:firstLine="0"/>
      </w:pPr>
      <w:r>
        <w:t>абзац первый изложить в следующей редакции:</w:t>
      </w:r>
    </w:p>
    <w:p w:rsidR="00EE4513" w:rsidRDefault="00590C98">
      <w:pPr>
        <w:ind w:left="23" w:right="28"/>
      </w:pPr>
      <w:r>
        <w:t>«5.1.5. О проведении плановой выездной проверки лицензиат уведомляется ответственным исполнителем посредством направления копии приказа о проведении плановой выездной проверки заказным почтовым отправлением с уведомлением о вручении и (или) посредством эле</w:t>
      </w:r>
      <w:r>
        <w:t>ктронного документа, подписанного усиленной квалифицированной электронной подписью и направленного по адресу электронной почты лицензиата, если такой адрес содержится соответственно в едином государственном реестре юридических лиц, едином государственном р</w:t>
      </w:r>
      <w:r>
        <w:t>еестре индивидуальных предпринимателей либо ранее был представлен лицензиатом в Министерство, или иным доступным способом.»; в абзаце третьем слова «в течение трех рабочих дней» заменить словами «за три рабочих дня»; пункт 5.1.7 дополнить абзацем следующег</w:t>
      </w:r>
      <w:r>
        <w:t>о содержания:</w:t>
      </w:r>
    </w:p>
    <w:p w:rsidR="00EE4513" w:rsidRDefault="00590C98">
      <w:pPr>
        <w:ind w:left="23" w:right="28"/>
      </w:pPr>
      <w:r>
        <w:t>«В случае, если проведение плановой и внеплановой выездной проверки оказалось невозможным в связи с отсутствием руководителя, иного должностного лица или уполномоченного представителя лицензиата, либо в связи с фактическим неосуществлением деятельности лиц</w:t>
      </w:r>
      <w:r>
        <w:t>ензиата, либо в связи с иными действиями (бездействием) руководителя, иного должностного лица или уполномоченного представителя лицензиата, повлекшими невозможность проведения проверки, должностное лицо Министерства составляет акт о невозможности проведени</w:t>
      </w:r>
      <w:r>
        <w:t xml:space="preserve">я соответствующей проверки с указанием причин невозможности ее проведения. В этом случае Министерство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</w:t>
      </w:r>
      <w:r>
        <w:t>лицензиата плановой или внеплановой выездной проверки без внесения плановой проверки в ежегодный план плановых проверок и без предварительного уведомления лицензиата.»; абзац 3 пункта 5.2.6 изложить в следующей редакции:</w:t>
      </w:r>
    </w:p>
    <w:p w:rsidR="00EE4513" w:rsidRDefault="00590C98">
      <w:pPr>
        <w:ind w:left="23" w:right="28" w:firstLine="566"/>
      </w:pPr>
      <w:r>
        <w:t>«При проведении внеплановой докумен</w:t>
      </w:r>
      <w:r>
        <w:t>тарной проверки по основаниям, указанным в подпункте 5 пункта 2.4.2 настоящего Регламента, ответственный исполнитель также направляет запросы в электронной форме посредством системы межведомственного электронного взаимодействия в иные органы государственно</w:t>
      </w:r>
      <w:r>
        <w:t>й власти, государственные информационные системы для получения Выписок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недвижимости), кадастровых выпис</w:t>
      </w:r>
      <w:r>
        <w:t>ок об объектах недвижимости, кадастровых паспортов объектов недвижимости, сведений из Единого государственного реестра юридических лиц, сведений из Единого государственного реестра индивидуальных предпринимателей, необходимых для цели проведения лицензионн</w:t>
      </w:r>
      <w:r>
        <w:t>ого контроля.»; в пункте 5.2.7 подраздела 5.2:</w:t>
      </w:r>
    </w:p>
    <w:p w:rsidR="00EE4513" w:rsidRDefault="00590C98">
      <w:pPr>
        <w:spacing w:after="69" w:line="259" w:lineRule="auto"/>
        <w:ind w:left="10" w:right="33" w:hanging="10"/>
        <w:jc w:val="right"/>
      </w:pPr>
      <w:r>
        <w:t>в абзаце первом слова «, в порядке, определяемом Правительством</w:t>
      </w:r>
    </w:p>
    <w:p w:rsidR="00EE4513" w:rsidRDefault="00590C98">
      <w:pPr>
        <w:spacing w:line="259" w:lineRule="auto"/>
        <w:ind w:left="23" w:right="28" w:firstLine="0"/>
      </w:pPr>
      <w:r>
        <w:t>Российской Федерации» исключить;</w:t>
      </w:r>
    </w:p>
    <w:p w:rsidR="00EE4513" w:rsidRDefault="00590C98">
      <w:pPr>
        <w:ind w:left="23" w:right="28" w:firstLine="5030"/>
      </w:pPr>
      <w:r>
        <w:t>12 абзац четвертый дополнить словами «При проведении выездной проверки запрещается требовать от юридического лиц</w:t>
      </w:r>
      <w:r>
        <w:t>а, индивидуального предпринимателя представления документов и (или) информации, которые были представлены ими в ходе проведения документарной проверки.»; в абзаце пятом слова «в соответствии с разделом 5.3» заменить словами в соответствии с подразделом 5.3</w:t>
      </w:r>
      <w:r>
        <w:t>»; абзац первый пункта 5.3.6 подраздела 5.3 изложить в следующей редакции:</w:t>
      </w:r>
    </w:p>
    <w:p w:rsidR="00EE4513" w:rsidRDefault="00590C98">
      <w:pPr>
        <w:ind w:left="23" w:right="28"/>
      </w:pPr>
      <w:r>
        <w:t>«5.3.6. Должностное лицо уведомляет соискателя лицензии, лицензиата о проведении внеплановой выездной проверки (за исключением внеплановой выездной проверки, основания проведения ко</w:t>
      </w:r>
      <w:r>
        <w:t>торой указаны в подпункте 2 пункта 2.4.2 настоящего Регламента)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</w:t>
      </w:r>
      <w:r>
        <w:t>исью и направленного по адресу электронной почты соискателя лицензии, лицензиата,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</w:t>
      </w:r>
      <w:r>
        <w:t>дставлен соискателем лицензии, лицензиатом в Министерство</w:t>
      </w:r>
      <w:bookmarkStart w:id="0" w:name="_GoBack"/>
      <w:bookmarkEnd w:id="0"/>
      <w:r>
        <w:t>».</w:t>
      </w:r>
    </w:p>
    <w:sectPr w:rsidR="00EE4513">
      <w:headerReference w:type="even" r:id="rId24"/>
      <w:headerReference w:type="default" r:id="rId25"/>
      <w:headerReference w:type="first" r:id="rId26"/>
      <w:pgSz w:w="11904" w:h="16834"/>
      <w:pgMar w:top="293" w:right="499" w:bottom="1187" w:left="11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90C98">
      <w:pPr>
        <w:spacing w:after="0" w:line="240" w:lineRule="auto"/>
      </w:pPr>
      <w:r>
        <w:separator/>
      </w:r>
    </w:p>
  </w:endnote>
  <w:endnote w:type="continuationSeparator" w:id="0">
    <w:p w:rsidR="00000000" w:rsidRDefault="00590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90C98">
      <w:pPr>
        <w:spacing w:after="0" w:line="240" w:lineRule="auto"/>
      </w:pPr>
      <w:r>
        <w:separator/>
      </w:r>
    </w:p>
  </w:footnote>
  <w:footnote w:type="continuationSeparator" w:id="0">
    <w:p w:rsidR="00000000" w:rsidRDefault="00590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13" w:rsidRDefault="00590C98">
    <w:pPr>
      <w:spacing w:after="0" w:line="259" w:lineRule="auto"/>
      <w:ind w:left="61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4A29" w:rsidRPr="00AF4A29">
      <w:rPr>
        <w:noProof/>
        <w:sz w:val="30"/>
      </w:rPr>
      <w:t>4</w:t>
    </w:r>
    <w:r>
      <w:rPr>
        <w:sz w:val="3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13" w:rsidRDefault="00EE4513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13" w:rsidRDefault="00EE4513">
    <w:pPr>
      <w:spacing w:after="160" w:line="259" w:lineRule="auto"/>
      <w:ind w:left="0"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13" w:rsidRDefault="00EE4513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13" w:rsidRDefault="00EE4513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513" w:rsidRDefault="00EE4513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8832" o:spid="_x0000_i1026" style="width:1.5pt;height:.7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05D3232D"/>
    <w:multiLevelType w:val="hybridMultilevel"/>
    <w:tmpl w:val="762E555C"/>
    <w:lvl w:ilvl="0" w:tplc="3710EF2C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40076C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D20C76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B8A72A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5A80C6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8C1F7A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3C81D6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747F42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E82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940C63"/>
    <w:multiLevelType w:val="hybridMultilevel"/>
    <w:tmpl w:val="DE68CA96"/>
    <w:lvl w:ilvl="0" w:tplc="8252E20E">
      <w:start w:val="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F74D4C2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240B488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EA803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C6770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88A29E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9C87D2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58127A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F2CDEA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511368"/>
    <w:multiLevelType w:val="hybridMultilevel"/>
    <w:tmpl w:val="444C8D64"/>
    <w:lvl w:ilvl="0" w:tplc="DACA0EE8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98DD4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12A70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E64A14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A59A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14AC2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083AB0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7CAF68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66799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00340A"/>
    <w:multiLevelType w:val="hybridMultilevel"/>
    <w:tmpl w:val="65BEC1A0"/>
    <w:lvl w:ilvl="0" w:tplc="A34E60F0">
      <w:start w:val="1"/>
      <w:numFmt w:val="bullet"/>
      <w:lvlText w:val="-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CCEFA8A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BCA8AB2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AF85DA2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780470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CD0B10E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0C8302E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74ABDFC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87672E4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5137B7"/>
    <w:multiLevelType w:val="hybridMultilevel"/>
    <w:tmpl w:val="4600C238"/>
    <w:lvl w:ilvl="0" w:tplc="7B084582">
      <w:start w:val="1"/>
      <w:numFmt w:val="bullet"/>
      <w:lvlText w:val="•"/>
      <w:lvlPicBulletId w:val="0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121FF2">
      <w:start w:val="1"/>
      <w:numFmt w:val="bullet"/>
      <w:lvlText w:val="o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4CCC70">
      <w:start w:val="1"/>
      <w:numFmt w:val="bullet"/>
      <w:lvlText w:val="▪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E1936">
      <w:start w:val="1"/>
      <w:numFmt w:val="bullet"/>
      <w:lvlText w:val="•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010ED64">
      <w:start w:val="1"/>
      <w:numFmt w:val="bullet"/>
      <w:lvlText w:val="o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E82A1C">
      <w:start w:val="1"/>
      <w:numFmt w:val="bullet"/>
      <w:lvlText w:val="▪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C0CEB2">
      <w:start w:val="1"/>
      <w:numFmt w:val="bullet"/>
      <w:lvlText w:val="•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1C82DE">
      <w:start w:val="1"/>
      <w:numFmt w:val="bullet"/>
      <w:lvlText w:val="o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B48E7C">
      <w:start w:val="1"/>
      <w:numFmt w:val="bullet"/>
      <w:lvlText w:val="▪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3F2158"/>
    <w:multiLevelType w:val="multilevel"/>
    <w:tmpl w:val="C4F21EC0"/>
    <w:lvl w:ilvl="0">
      <w:start w:val="2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A636BF"/>
    <w:multiLevelType w:val="hybridMultilevel"/>
    <w:tmpl w:val="D3A2AACA"/>
    <w:lvl w:ilvl="0" w:tplc="B0AAF1D6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4FE8F62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6CC067C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F5E8590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88E8580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4BA9DD6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2EEE97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F16E6D6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B5CFE3A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C7F12B9"/>
    <w:multiLevelType w:val="hybridMultilevel"/>
    <w:tmpl w:val="FCC8365C"/>
    <w:lvl w:ilvl="0" w:tplc="DA80DB3E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C8A954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7C889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6A3B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0225B2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05C2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2C1A78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B43AB4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7C21A6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F442B4"/>
    <w:multiLevelType w:val="multilevel"/>
    <w:tmpl w:val="7D00DBD4"/>
    <w:lvl w:ilvl="0">
      <w:start w:val="2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513"/>
    <w:rsid w:val="00590C98"/>
    <w:rsid w:val="00AF4A29"/>
    <w:rsid w:val="00EE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9BBB26"/>
  <w15:docId w15:val="{72B12104-D871-41BB-B550-C7244798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16" w:lineRule="auto"/>
      <w:ind w:left="34" w:right="4406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73"/>
      <w:ind w:right="312"/>
      <w:jc w:val="right"/>
      <w:outlineLvl w:val="0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image" Target="media/image13.jpg"/><Relationship Id="rId7" Type="http://schemas.openxmlformats.org/officeDocument/2006/relationships/image" Target="media/image2.jp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5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theme" Target="theme/theme1.xml"/><Relationship Id="rId10" Type="http://schemas.openxmlformats.org/officeDocument/2006/relationships/header" Target="header3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3485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3</cp:revision>
  <dcterms:created xsi:type="dcterms:W3CDTF">2018-08-16T13:08:00Z</dcterms:created>
  <dcterms:modified xsi:type="dcterms:W3CDTF">2018-08-16T13:08:00Z</dcterms:modified>
</cp:coreProperties>
</file>