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567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</w:p>
    <w:p>
      <w:pPr>
        <w:pStyle w:val="Normal"/>
        <w:spacing w:lineRule="auto" w:line="240" w:before="0" w:after="0"/>
        <w:ind w:left="-567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</w:r>
    </w:p>
    <w:p>
      <w:pPr>
        <w:pStyle w:val="Normal"/>
        <w:spacing w:lineRule="auto" w:line="240" w:before="0" w:after="0"/>
        <w:ind w:left="-567" w:righ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__________20 __</w:t>
        <w:tab/>
        <w:tab/>
        <w:tab/>
        <w:tab/>
        <w:tab/>
        <w:t xml:space="preserve">    </w:t>
        <w:tab/>
        <w:t xml:space="preserve">                                  № 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-567" w:right="510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Положение о региональном государственном контроле (надзоре) 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в сфере социального обслуживания в Республике Татарстан»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 w:left="-567" w:righ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</w:t>
        <w:br/>
        <w:t xml:space="preserve">в сфере социального обслуживания в Республике Татарстан, утвержденное постановлением Кабинета Министров Республики Татарстан от 23.09.2021 № 909 «Об утверждении Положения о региональном государственном контроле (надзоре) </w:t>
        <w:br/>
        <w:t xml:space="preserve">в сфере социального обслуживания в Республике Татарстан» (с изменениями, внесенными постановлениями Кабинета Министров Республики Татарстан </w:t>
        <w:br/>
        <w:t xml:space="preserve">от 27.12.2021 № 1298, от 26.01.2022 № 47, от 02.05.2023 № 556, от 10.12.2024 № 1131, от 01.02.2025 № 51, 06.09.2025 № 670), следующие изменения: </w:t>
      </w:r>
    </w:p>
    <w:p>
      <w:pPr>
        <w:pStyle w:val="Normal"/>
        <w:widowControl w:val="false"/>
        <w:spacing w:lineRule="auto" w:line="240" w:before="0" w:after="0"/>
        <w:ind w:firstLine="709" w:left="-567" w:right="-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2.5. дополнить абзацем следующего содержания:</w:t>
      </w:r>
    </w:p>
    <w:p>
      <w:pPr>
        <w:pStyle w:val="Normal"/>
        <w:widowControl w:val="false"/>
        <w:spacing w:lineRule="auto" w:line="240" w:before="0" w:after="0"/>
        <w:ind w:firstLine="709" w:left="-567" w:right="-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«Объект контроля считается отнесенным к одной из категорий риска после внесения сведений в единый реестр видов контроля.»;</w:t>
      </w:r>
    </w:p>
    <w:p>
      <w:pPr>
        <w:pStyle w:val="Normal"/>
        <w:widowControl w:val="false"/>
        <w:spacing w:lineRule="auto" w:line="240" w:before="0" w:after="0"/>
        <w:ind w:firstLine="709" w:left="-567" w:right="-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пункт 3.8. изложить в следующей редакции:</w:t>
      </w:r>
    </w:p>
    <w:p>
      <w:pPr>
        <w:pStyle w:val="NormalWeb"/>
        <w:spacing w:beforeAutospacing="0" w:before="0" w:afterAutospacing="0" w:after="0"/>
        <w:ind w:firstLine="709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Контролируемое лицо вправе после получения предостережения </w:t>
        <w:br/>
        <w:t>о недопустимости нарушения обязательных требований подать в Министерство возражения в отношении указанного предостережения не позднее 30 календарных дней со дня получения ими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>
      <w:pPr>
        <w:pStyle w:val="NormalWeb"/>
        <w:spacing w:beforeAutospacing="0" w:before="0" w:afterAutospacing="0" w:after="0"/>
        <w:ind w:firstLine="709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3.18. изложить в следующей редакции: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«1) в отношении контролируемых лиц, представивших уведомление о начале осуществления отдельных видов предпринимательской деятельности в соответствии с пунктом 2 части 2 статьи 52¹ Федерального закона от 31 июля 2020 года № 248-ФЗ «О государственном контроле (надзоре) и муниципальном контроле в Российской Федерации» или контролируемых лиц, сведения о которых включены в реестр классифицированных средств размещения. В адрес Министерства направляются уведомления об оказании социальных услуг на территории Республики Татарстан (деятельность по уходу с обеспечением проживания; предоставление социальных услуг без обеспечения проживания). Обязательный профилактический визит в указанном случае проводится не позднее шести месяцев с даты представления такого уведомления;»; 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пункт 3.12. изложить в следующей редакции: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«3.12. Консультирование осуществляться должностным лицом Министерства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пункт 3.20. дополнить абзацем следующего содержания: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«О проведении обязательного профилактического визита контролируемое лицо уведомляется не позднее чем за 24 часа до его начала в порядке, предусмотренном </w:t>
      </w:r>
      <w:hyperlink r:id="rId2">
        <w:r>
          <w:rPr>
            <w:rStyle w:val="ListLabel28"/>
            <w:rFonts w:eastAsia="Times New Roman" w:cs="Times New Roman" w:ascii="Times New Roman" w:hAnsi="Times New Roman"/>
            <w:sz w:val="28"/>
            <w:szCs w:val="28"/>
          </w:rPr>
          <w:t>частью 5 статьи 21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Федерального закона от 31 июля 2020 года </w:t>
        <w:br/>
        <w:t xml:space="preserve">№ 248-ФЗ «О государственном контроле (надзоре) и муниципальном контроле </w:t>
        <w:br/>
        <w:t>в Российской Федерации».»;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2.21. следующего содержания: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«2.21.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абзац первый пункта 4.10. изложить в следующей редакции: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«4.10.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действия:»;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пункт 4.12. дополнить абзацем следующего содержания:</w:t>
      </w:r>
    </w:p>
    <w:p>
      <w:pPr>
        <w:pStyle w:val="NormalWeb"/>
        <w:spacing w:beforeAutospacing="0" w:before="0" w:afterAutospacing="0" w:after="0"/>
        <w:ind w:firstLine="539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 Документарная проверка проводится в порядке, установленном статьей 72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пункт 4.17. изложить в следующей редакции: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«4.17. Срок проведения выездной проверки не может превышать 10 рабочих дней </w:t>
        <w:br/>
        <w:t>и определяется с учетом требований частей 7 и 7¹ Федерального закона от 31 июля 2020 года № 248-ФЗ «О государственном контроле (надзоре) и муниципальном контроле в Российской Федерации».»;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пункт 4.22. дополнить абзацем следующего содержания: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«Выездное обследование, может быть проведено с использованием беспилотных аппаратов (систем).»;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пункт 5.3. изложить в следующей редакции: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«5.3. 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</w:t>
        <w:br/>
        <w:t xml:space="preserve">с использованием мобильного приложения «Инспектор», в иных случаях, установленных Федеральным законом от 31 июля 2020 года № 248-ФЗ </w:t>
        <w:br/>
        <w:t xml:space="preserve">«О государственном контроле (надзоре) и муниципальном контроле в Российской Федерации», Министерство направляет акт контролируемому лицу в порядке, установленном </w:t>
      </w:r>
      <w:hyperlink r:id="rId3">
        <w:r>
          <w:rPr>
            <w:rStyle w:val="ListLabel29"/>
            <w:sz w:val="28"/>
            <w:szCs w:val="28"/>
          </w:rPr>
          <w:t>статьей 21</w:t>
        </w:r>
      </w:hyperlink>
      <w:r>
        <w:rPr>
          <w:sz w:val="28"/>
          <w:szCs w:val="28"/>
        </w:rPr>
        <w:t xml:space="preserve"> Федерального закона от 31 июля 2020 года № 248-ФЗ </w:t>
        <w:br/>
        <w:t>«О государственном контроле (надзоре) и муниципальном контроле в Российской Федерации».»;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пункт 6.3. изложить в следующей редакции: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«6.3. Жалоба на решения, действия (бездействие) министра труда, занятости и социальной защиты Республики Татарстан (заместителя министра) рассматривается коллегиальным органом для рассмотрения жалоб из числа должностных лиц Министерства (не менее трех должностных лиц).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Решение о создании коллегиального органа для рассмотрения жалоб принимается министром труда, занятости и социальной защиты Республики Татарстан.»;</w:t>
      </w:r>
    </w:p>
    <w:p>
      <w:pPr>
        <w:pStyle w:val="ConsPlusNormal"/>
        <w:ind w:firstLine="539"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раздел VIII изложить в следующей редакции: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sz w:val="28"/>
          <w:szCs w:val="28"/>
        </w:rPr>
      </w:pPr>
      <w:r>
        <w:rPr>
          <w:rFonts w:eastAsia="Arial" w:eastAsiaTheme="minorEastAsia"/>
          <w:sz w:val="28"/>
          <w:szCs w:val="28"/>
        </w:rPr>
        <w:t>«</w:t>
      </w:r>
      <w:r>
        <w:rPr>
          <w:sz w:val="28"/>
          <w:szCs w:val="28"/>
        </w:rPr>
        <w:t>VIII. Перечень индикаторов риска нарушения обязательных требований при осуществлении регионального государственного контроля (надзора)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rFonts w:eastAsia="Arial" w:eastAsiaTheme="minorEastAsia"/>
          <w:sz w:val="28"/>
          <w:szCs w:val="28"/>
        </w:rPr>
      </w:pPr>
      <w:r>
        <w:rPr>
          <w:rFonts w:eastAsia="Arial" w:eastAsiaTheme="minorEastAsia"/>
          <w:sz w:val="28"/>
          <w:szCs w:val="28"/>
        </w:rPr>
        <w:t>8.1. При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от таких параметров должностное лицо направляет министру (заместителю министра) мотивированное представление о проведении контрольного (надзорного) мероприятия.</w:t>
      </w:r>
    </w:p>
    <w:p>
      <w:pPr>
        <w:pStyle w:val="NormalWeb"/>
        <w:spacing w:beforeAutospacing="0" w:before="0" w:afterAutospacing="0" w:after="0"/>
        <w:ind w:firstLine="540" w:left="-567" w:right="-284"/>
        <w:jc w:val="both"/>
        <w:rPr>
          <w:rFonts w:eastAsia="Arial" w:eastAsiaTheme="minorEastAsia"/>
          <w:sz w:val="28"/>
          <w:szCs w:val="28"/>
        </w:rPr>
      </w:pPr>
      <w:r>
        <w:rPr>
          <w:rFonts w:eastAsia="Arial" w:eastAsiaTheme="minorEastAsia"/>
          <w:sz w:val="28"/>
          <w:szCs w:val="28"/>
        </w:rPr>
        <w:t>Форма мотивированного представления о проведении контрольного (надзорного) мероприятия устанавливается Министерством.</w:t>
      </w:r>
    </w:p>
    <w:p>
      <w:pPr>
        <w:pStyle w:val="Normal"/>
        <w:spacing w:lineRule="auto" w:line="240" w:before="0" w:after="0"/>
        <w:ind w:firstLine="540" w:left="-567" w:right="-284"/>
        <w:jc w:val="both"/>
        <w:rPr>
          <w:rFonts w:ascii="Times New Roman" w:hAnsi="Times New Roman" w:eastAsia="Arial" w:eastAsiaTheme="minorEastAsia"/>
          <w:sz w:val="28"/>
          <w:szCs w:val="28"/>
          <w:lang w:eastAsia="ru-RU"/>
        </w:rPr>
      </w:pPr>
      <w:r>
        <w:rPr>
          <w:rFonts w:eastAsia="Arial" w:ascii="Times New Roman" w:hAnsi="Times New Roman" w:eastAsiaTheme="minorEastAsia"/>
          <w:sz w:val="28"/>
          <w:szCs w:val="28"/>
          <w:lang w:eastAsia="ru-RU"/>
        </w:rPr>
        <w:t>8.2. Индикаторами риска нарушения обязательных требований при осуществлении регионального государственного контроля (надзора) являются:</w:t>
      </w:r>
    </w:p>
    <w:p>
      <w:pPr>
        <w:pStyle w:val="Normal"/>
        <w:spacing w:lineRule="auto" w:line="240" w:before="0" w:after="0"/>
        <w:ind w:firstLine="540" w:left="-567" w:right="-284"/>
        <w:jc w:val="both"/>
        <w:rPr>
          <w:rFonts w:ascii="Times New Roman" w:hAnsi="Times New Roman" w:eastAsia="Arial" w:eastAsiaTheme="minorEastAsia"/>
          <w:sz w:val="28"/>
          <w:szCs w:val="28"/>
          <w:lang w:eastAsia="ru-RU"/>
        </w:rPr>
      </w:pPr>
      <w:r>
        <w:rPr>
          <w:rFonts w:eastAsia="Arial" w:ascii="Times New Roman" w:hAnsi="Times New Roman" w:eastAsiaTheme="minorEastAsia"/>
          <w:sz w:val="28"/>
          <w:szCs w:val="28"/>
          <w:lang w:eastAsia="ru-RU"/>
        </w:rPr>
        <w:t xml:space="preserve">1) снижение более чем на 20 процентов за прошедшие два календарных года штатного количества специалистов организации социального обслуживания, непосредственно оказывающих социальные услуги, в расчете на одного получателя социальных услуг; </w:t>
      </w:r>
    </w:p>
    <w:p>
      <w:pPr>
        <w:pStyle w:val="Normal"/>
        <w:spacing w:lineRule="auto" w:line="240" w:before="0" w:after="0"/>
        <w:ind w:firstLine="540" w:left="-567" w:right="-284"/>
        <w:jc w:val="both"/>
        <w:rPr>
          <w:rFonts w:ascii="Times New Roman" w:hAnsi="Times New Roman" w:eastAsia="Arial" w:eastAsiaTheme="minorEastAsia"/>
          <w:sz w:val="28"/>
          <w:szCs w:val="28"/>
          <w:lang w:eastAsia="ru-RU"/>
        </w:rPr>
      </w:pPr>
      <w:r>
        <w:rPr>
          <w:rFonts w:eastAsia="Arial" w:ascii="Times New Roman" w:hAnsi="Times New Roman" w:eastAsiaTheme="minorEastAsia"/>
          <w:sz w:val="28"/>
          <w:szCs w:val="28"/>
          <w:lang w:eastAsia="ru-RU"/>
        </w:rPr>
        <w:t xml:space="preserve">2) выявление в ходе сбора, обработки, анализа и учета сведений об объектах регионального государственного контроля (надзора), получаемых в рамках межведомственного взаимодействия из Единого государственного реестра юридических лиц и Единого государственного реестра индивидуальных предпринимателей и других общедоступных ресурсов, двух и более контролируемых лиц, предоставляющих социальные услуги в форме социального обслуживания на дому, либо в полустационарной форме социального обслуживания, либо в стационарной форме социального обслуживания, по одному и тому же месту нахождения; </w:t>
      </w:r>
    </w:p>
    <w:p>
      <w:pPr>
        <w:pStyle w:val="Normal"/>
        <w:spacing w:lineRule="auto" w:line="240" w:before="0" w:after="0"/>
        <w:ind w:firstLine="540" w:left="-567" w:right="-284"/>
        <w:jc w:val="both"/>
        <w:rPr>
          <w:rFonts w:ascii="Times New Roman" w:hAnsi="Times New Roman" w:eastAsia="Arial" w:eastAsiaTheme="minorEastAsia"/>
          <w:sz w:val="28"/>
          <w:szCs w:val="28"/>
          <w:lang w:eastAsia="ru-RU"/>
        </w:rPr>
      </w:pPr>
      <w:r>
        <w:rPr>
          <w:rFonts w:eastAsia="Arial" w:ascii="Times New Roman" w:hAnsi="Times New Roman" w:eastAsiaTheme="minorEastAsia"/>
          <w:sz w:val="28"/>
          <w:szCs w:val="28"/>
          <w:lang w:eastAsia="ru-RU"/>
        </w:rPr>
        <w:t xml:space="preserve">3) признание здания или помещения, используемого контролируемым лицом, предоставляющим социальные услуги в стационарной форме социального обслуживания, аварийным и (или) ветхим; </w:t>
      </w:r>
    </w:p>
    <w:p>
      <w:pPr>
        <w:pStyle w:val="Normal"/>
        <w:spacing w:lineRule="auto" w:line="240" w:before="0" w:after="0"/>
        <w:ind w:firstLine="540" w:left="-567" w:right="-284"/>
        <w:jc w:val="both"/>
        <w:rPr>
          <w:rFonts w:ascii="Times New Roman" w:hAnsi="Times New Roman" w:eastAsia="Arial" w:eastAsiaTheme="minorEastAsia"/>
          <w:sz w:val="28"/>
          <w:szCs w:val="28"/>
          <w:lang w:eastAsia="ru-RU"/>
        </w:rPr>
      </w:pPr>
      <w:r>
        <w:rPr>
          <w:rFonts w:eastAsia="Arial" w:ascii="Times New Roman" w:hAnsi="Times New Roman" w:eastAsiaTheme="minorEastAsia"/>
          <w:sz w:val="28"/>
          <w:szCs w:val="28"/>
          <w:lang w:eastAsia="ru-RU"/>
        </w:rPr>
        <w:t>4) получение организацией социального обслуживания менее 50 баллов по результатам независимой оценки качества условий оказания услуг.».</w:t>
      </w:r>
    </w:p>
    <w:p>
      <w:pPr>
        <w:pStyle w:val="NormalWeb"/>
        <w:spacing w:beforeAutospacing="0" w:before="0" w:afterAutospacing="0" w:after="0"/>
        <w:ind w:firstLine="539"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425" w:footer="0" w:bottom="822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HelvD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31" w:customStyle="1">
    <w:name w:val="Основной текст 3 Знак"/>
    <w:basedOn w:val="DefaultParagraphFont"/>
    <w:link w:val="BodyText3"/>
    <w:uiPriority w:val="99"/>
    <w:semiHidden/>
    <w:qFormat/>
    <w:rPr>
      <w:rFonts w:eastAsia="Times New Roman"/>
      <w:sz w:val="16"/>
      <w:szCs w:val="16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/>
    <w:rPr>
      <w:b/>
      <w:bCs/>
      <w:color w:themeColor="accent1" w:val="4F81BD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ListParagraph">
    <w:name w:val="List Paragraph"/>
    <w:basedOn w:val="Normal"/>
    <w:uiPriority w:val="99"/>
    <w:qFormat/>
    <w:pPr>
      <w:spacing w:before="0" w:after="200"/>
      <w:ind w:left="720"/>
      <w:contextualSpacing/>
    </w:pPr>
    <w:rPr/>
  </w:style>
  <w:style w:type="paragraph" w:styleId="BlockText">
    <w:name w:val="Block Text"/>
    <w:basedOn w:val="Normal"/>
    <w:uiPriority w:val="99"/>
    <w:qFormat/>
    <w:pPr>
      <w:spacing w:lineRule="auto" w:line="216" w:before="600" w:after="0"/>
      <w:ind w:left="1080" w:right="800"/>
      <w:jc w:val="center"/>
    </w:pPr>
    <w:rPr>
      <w:rFonts w:ascii="HelvDL" w:hAnsi="HelvDL" w:eastAsia="Calibri"/>
      <w:b/>
      <w:bCs/>
      <w:sz w:val="28"/>
      <w:szCs w:val="28"/>
      <w:lang w:eastAsia="ru-RU"/>
    </w:rPr>
  </w:style>
  <w:style w:type="paragraph" w:styleId="BodyText3">
    <w:name w:val="Body Text 3"/>
    <w:basedOn w:val="Normal"/>
    <w:link w:val="31"/>
    <w:uiPriority w:val="99"/>
    <w:qFormat/>
    <w:pPr>
      <w:spacing w:lineRule="auto" w:line="360" w:before="0" w:after="0"/>
      <w:jc w:val="center"/>
    </w:pPr>
    <w:rPr>
      <w:rFonts w:ascii="Times New Roman" w:hAnsi="Times New Roman" w:eastAsia="Calibri"/>
      <w:b/>
      <w:bCs/>
      <w:sz w:val="28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1e1a80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43620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9">
    <w:name w:val="Table Grid"/>
    <w:basedOn w:val="a1"/>
    <w:uiPriority w:val="99"/>
    <w:pPr>
      <w:spacing w:after="200" w:line="276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08984&amp;dst=101128&amp;field=134&amp;date=27.02.2026" TargetMode="External"/><Relationship Id="rId3" Type="http://schemas.openxmlformats.org/officeDocument/2006/relationships/hyperlink" Target="https://login.consultant.ru/link/?req=doc&amp;base=LAW&amp;n=508984&amp;dst=100225&amp;field=134&amp;date=06.03.2026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LibreOffice/7.6.7.2$Linux_X86_64 LibreOffice_project/60$Build-2</Application>
  <AppVersion>15.0000</AppVersion>
  <Pages>7</Pages>
  <Words>2358</Words>
  <Characters>13441</Characters>
  <CharactersWithSpaces>15768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2025-03-07T12:00:00Z</dcterms:created>
  <dc:creator>valeev</dc:creator>
  <dc:description/>
  <dc:language>ru-RU</dc:language>
  <cp:lastModifiedBy/>
  <dcterms:modified xsi:type="dcterms:W3CDTF">2026-04-01T11:18:40Z</dcterms:modified>
  <cp:revision>58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