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0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Предпринимателям об оценке регулирующего воздействия</w:t>
      </w:r>
    </w:p>
    <w:p>
      <w:pPr>
        <w:pStyle w:val="Style3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Оценка регулирующего воздействия (ОРВ)</w:t>
      </w:r>
      <w:r>
        <w:rPr>
          <w:rFonts w:ascii="Times New Roman" w:hAnsi="Times New Roman"/>
        </w:rPr>
        <w:t xml:space="preserve"> – это важнейший инструмент современного нормотворчества, который позволяет анализировать проекты нормативных правовых актов с точки зрения их влияния на бизнес и экономику в целом.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Цель процедуры </w:t>
      </w:r>
      <w:r>
        <w:rPr>
          <w:rFonts w:ascii="Times New Roman" w:hAnsi="Times New Roman"/>
        </w:rPr>
        <w:t>– выявить и минимизировать избыточные административные барьеры, снизить необоснованные финансовые затраты для предпринимателей и обеспечить оптимальное соотношение между необходимостью государственного регулирования и развитием деловой активности.</w:t>
      </w:r>
    </w:p>
    <w:p>
      <w:pPr>
        <w:pStyle w:val="Style30"/>
        <w:numPr>
          <w:ilvl w:val="0"/>
          <w:numId w:val="3"/>
        </w:numPr>
        <w:tabs>
          <w:tab w:val="left" w:pos="709" w:leader="none"/>
        </w:tabs>
        <w:bidi w:val="0"/>
        <w:spacing w:before="0" w:after="283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Значение оценки регулирующего воздействия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ОРВ представляет собой системный анализ проектов нормативных правовых актов, направленный на то, чтобы определить, достигается ли поставленная разработчиком цель, а также не возникают ли дополнительные издержки для бизнеса или государства. При этом особенно важно выявлять положения, которые могут привести к избыточным административным ограничениям, запретам или необоснованным расходам. Такой подход позволяет разработчикам нормативных актов в процессе их подготовки учитывать рекомендации экспертов и представителей бизнес-сообщества, что положительно сказывается на инвестиционном и деловом климате страны и регионов.</w:t>
      </w:r>
    </w:p>
    <w:p>
      <w:pPr>
        <w:pStyle w:val="Style30"/>
        <w:numPr>
          <w:ilvl w:val="0"/>
          <w:numId w:val="4"/>
        </w:numPr>
        <w:tabs>
          <w:tab w:val="left" w:pos="709" w:leader="none"/>
        </w:tabs>
        <w:bidi w:val="0"/>
        <w:spacing w:before="0" w:after="283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Какие проекты нормативных правовых актов подлежат оценке регулирующего воздействия?</w:t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ОРВ подлежат проекты нормативных правовых актов, затрагивающие интересы бизнеса:</w:t>
      </w:r>
    </w:p>
    <w:p>
      <w:pPr>
        <w:pStyle w:val="Style30"/>
        <w:bidi w:val="0"/>
        <w:spacing w:before="0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- устанавливающие новые или изменяющи</w:t>
      </w:r>
      <w:r>
        <w:rPr>
          <w:rFonts w:ascii="Times New Roman" w:hAnsi="Times New Roman"/>
          <w:b w:val="false"/>
        </w:rPr>
        <w:t>е</w:t>
      </w:r>
      <w:r>
        <w:rPr>
          <w:rFonts w:ascii="Times New Roman" w:hAnsi="Times New Roman"/>
          <w:b w:val="false"/>
        </w:rPr>
        <w:t xml:space="preserve"> ранее предусмотренные нормативными правовыми актами Республики Татарстан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>
      <w:pPr>
        <w:pStyle w:val="Style30"/>
        <w:bidi w:val="0"/>
        <w:spacing w:before="0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- устанавливающи</w:t>
      </w:r>
      <w:r>
        <w:rPr>
          <w:rFonts w:ascii="Times New Roman" w:hAnsi="Times New Roman"/>
          <w:b w:val="false"/>
        </w:rPr>
        <w:t>е</w:t>
      </w:r>
      <w:r>
        <w:rPr>
          <w:rFonts w:ascii="Times New Roman" w:hAnsi="Times New Roman"/>
          <w:b w:val="false"/>
        </w:rPr>
        <w:t xml:space="preserve"> новые или изменяющи</w:t>
      </w:r>
      <w:r>
        <w:rPr>
          <w:rFonts w:ascii="Times New Roman" w:hAnsi="Times New Roman"/>
          <w:b w:val="false"/>
        </w:rPr>
        <w:t>е</w:t>
      </w:r>
      <w:r>
        <w:rPr>
          <w:rFonts w:ascii="Times New Roman" w:hAnsi="Times New Roman"/>
          <w:b w:val="false"/>
        </w:rPr>
        <w:t xml:space="preserve"> ранее предусмотренные нормативными правовыми актами Республики Татарстан обязанности и запреты для субъектов предпринимательской деятельности;</w:t>
      </w:r>
    </w:p>
    <w:p>
      <w:pPr>
        <w:pStyle w:val="Style30"/>
        <w:bidi w:val="0"/>
        <w:spacing w:before="0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- устанавливающи</w:t>
      </w:r>
      <w:r>
        <w:rPr>
          <w:rFonts w:ascii="Times New Roman" w:hAnsi="Times New Roman"/>
          <w:b w:val="false"/>
        </w:rPr>
        <w:t>е</w:t>
      </w:r>
      <w:r>
        <w:rPr>
          <w:rFonts w:ascii="Times New Roman" w:hAnsi="Times New Roman"/>
          <w:b w:val="false"/>
        </w:rPr>
        <w:t xml:space="preserve"> или изменяющи</w:t>
      </w:r>
      <w:r>
        <w:rPr>
          <w:rFonts w:ascii="Times New Roman" w:hAnsi="Times New Roman"/>
          <w:b w:val="false"/>
        </w:rPr>
        <w:t>е</w:t>
      </w:r>
      <w:r>
        <w:rPr>
          <w:rFonts w:ascii="Times New Roman" w:hAnsi="Times New Roman"/>
          <w:b w:val="false"/>
        </w:rPr>
        <w:t xml:space="preserve">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</w:t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numPr>
          <w:ilvl w:val="0"/>
          <w:numId w:val="4"/>
        </w:numPr>
        <w:tabs>
          <w:tab w:val="left" w:pos="709" w:leader="none"/>
        </w:tabs>
        <w:bidi w:val="0"/>
        <w:spacing w:before="0" w:after="283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Как проводится процедура?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ОРВ начинается с этапа определения необходимости проведения оценки. Республиканские органы исполнительной власти, принимая решение о разработке нового акта, проводят предварительный анализ возможных эффектов и рисков. Далее разработчик нормативного правового акта организует </w:t>
      </w:r>
      <w:r>
        <w:rPr>
          <w:rFonts w:ascii="Times New Roman" w:hAnsi="Times New Roman"/>
          <w:b/>
          <w:bCs/>
        </w:rPr>
        <w:t>публичные консультации</w:t>
      </w:r>
      <w:r>
        <w:rPr>
          <w:rFonts w:ascii="Times New Roman" w:hAnsi="Times New Roman"/>
        </w:rPr>
        <w:t>, приглашая представителей бизнеса, экспертов и все заинтересованные стороны для оценки предлагаемых положений. Публичные консультации проводятся посредством рассылки писем, размещения информации на официальном сайте и использования других оперативных каналов связи.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проведения обсуждения разработчик формирует сводку предложений с предложениями и замечаниями участников публичных консультаций, которая в составе пакета документов (проект акта, пояснительная записка, Сводный отчет)  направляется в Министерство экономики Республики Татарстан. Специалисты министерства в установленном порядке готовят заключение об ОРВ.  </w:t>
      </w:r>
      <w:r>
        <w:rPr>
          <w:rFonts w:ascii="Times New Roman" w:hAnsi="Times New Roman"/>
          <w:b w:val="false"/>
          <w:bCs w:val="false"/>
        </w:rPr>
        <w:t xml:space="preserve">В заключении об ОРВ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содержатся выводы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о наличии либо отсутствии положений, вводящих избыточные обязанности, запреты и ограничения для бизнеса или способствующих их введению, а также положений, способствующих возникновению необоснованных расходов предпринимателей, а также бюджета Республики Татарстан</w:t>
      </w:r>
    </w:p>
    <w:p>
      <w:pPr>
        <w:pStyle w:val="Normal"/>
        <w:spacing w:lineRule="auto" w:line="240" w:before="0" w:after="283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/>
        </w:rPr>
        <w:t>Выводы и предложения, содержащиеся в заключении об ОРВ, должны учитываться разработчиком при доработке проекта нормативного правового акта, это один из базовых принципов ОРВ.</w:t>
      </w:r>
    </w:p>
    <w:p>
      <w:pPr>
        <w:pStyle w:val="Style30"/>
        <w:numPr>
          <w:ilvl w:val="0"/>
          <w:numId w:val="0"/>
        </w:numPr>
        <w:tabs>
          <w:tab w:val="left" w:pos="709" w:leader="none"/>
        </w:tabs>
        <w:bidi w:val="0"/>
        <w:spacing w:before="0" w:after="283"/>
        <w:ind w:left="709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Роль предпринимателей и значение публичных консультаций?</w:t>
      </w:r>
    </w:p>
    <w:p>
      <w:pPr>
        <w:pStyle w:val="Style30"/>
        <w:bidi w:val="0"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Одной из основных целей ОРВ является обеспечение диалога между государством и бизнес-сообществом. Участие предпринимателей в публичных консультациях позволяет:</w:t>
      </w:r>
    </w:p>
    <w:p>
      <w:pPr>
        <w:pStyle w:val="Style30"/>
        <w:widowControl w:val="false"/>
        <w:tabs>
          <w:tab w:val="clear" w:pos="709"/>
          <w:tab w:val="left" w:pos="283" w:leader="none"/>
          <w:tab w:val="left" w:pos="34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формировать объективное мнение о предлагаемом регулировании;</w:t>
        <w:br/>
        <w:t>- выявлять реальные проблемы, которые могут возникнуть в ходе реализации правовых актов;</w:t>
      </w:r>
    </w:p>
    <w:p>
      <w:pPr>
        <w:pStyle w:val="Style30"/>
        <w:widowControl w:val="false"/>
        <w:tabs>
          <w:tab w:val="clear" w:pos="709"/>
          <w:tab w:val="left" w:pos="283" w:leader="none"/>
          <w:tab w:val="left" w:pos="34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предлагать альтернативные варианты решения проблем, подкрепленные расчетами и конкретными примерами.</w:t>
      </w:r>
    </w:p>
    <w:p>
      <w:pPr>
        <w:pStyle w:val="Style30"/>
        <w:widowControl w:val="false"/>
        <w:tabs>
          <w:tab w:val="clear" w:pos="709"/>
          <w:tab w:val="left" w:pos="283" w:leader="none"/>
          <w:tab w:val="left" w:pos="34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В рамках публичных консультаций предприниматели получают возможность не просто озвучить свои замечания, но и проверить, насколько их мнение было учтено в итоговом заключении. Все материалы и заключения размещаются на официальном сайте Министерства экономики Республики Татарстан, что обеспечивает прозрачность процесса.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</w:t>
      </w:r>
      <w:r>
        <w:rPr>
          <w:rFonts w:ascii="Times New Roman" w:hAnsi="Times New Roman"/>
          <w:b/>
          <w:bCs/>
        </w:rPr>
        <w:t>участие в ОРВ становится неотъемлемой частью системы защиты интересов предпринимателей, способствуя улучшению качества принимаемых решений.</w:t>
      </w:r>
    </w:p>
    <w:p>
      <w:pPr>
        <w:pStyle w:val="Style30"/>
        <w:numPr>
          <w:ilvl w:val="0"/>
          <w:numId w:val="0"/>
        </w:numPr>
        <w:tabs>
          <w:tab w:val="left" w:pos="709" w:leader="none"/>
        </w:tabs>
        <w:bidi w:val="0"/>
        <w:spacing w:before="0" w:after="283"/>
        <w:ind w:left="709" w:hanging="0"/>
        <w:rPr>
          <w:rFonts w:ascii="Times New Roman" w:hAnsi="Times New Roman"/>
          <w:b/>
          <w:bCs/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>5. Практический эффект применения ОРВ</w:t>
      </w:r>
    </w:p>
    <w:p>
      <w:pPr>
        <w:pStyle w:val="Style30"/>
        <w:bidi w:val="0"/>
        <w:spacing w:before="0" w:after="283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За последние годы процедура оценки регулирующего воздействия показала свою эффективность. Так, в рамках ОРВ были рассмотрены </w:t>
      </w:r>
      <w:r>
        <w:rPr>
          <w:rFonts w:ascii="Times New Roman" w:hAnsi="Times New Roman"/>
          <w:shd w:fill="auto" w:val="clear"/>
        </w:rPr>
        <w:t>сотни</w:t>
      </w:r>
      <w:r>
        <w:rPr>
          <w:rFonts w:ascii="Times New Roman" w:hAnsi="Times New Roman"/>
          <w:shd w:fill="auto" w:val="clear"/>
        </w:rPr>
        <w:t xml:space="preserve"> проектов нормативных правовых актов, затрагивающих различные сферы: транспорт, сельское хозяйство, экология и природопользование, труд и занятость, жилищно-коммунальное хозяйство, регулирование продажи алкогольной продукции, охрана объектов культурного наследия,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оказание поддержки субъектам малого и среднего предпринимательства</w:t>
      </w:r>
      <w:r>
        <w:rPr>
          <w:rFonts w:ascii="Times New Roman" w:hAnsi="Times New Roman"/>
          <w:shd w:fill="auto" w:val="clear"/>
        </w:rPr>
        <w:t xml:space="preserve"> и другие направления. Привлечение заинтересованных сторон позволило выявить не только положительные аспекты принимаемых решений, но и те положения, которые создают избыточные административные ограничения и финансовую нагрузку для субъектов предпринимательской деятельности.</w:t>
      </w:r>
    </w:p>
    <w:p>
      <w:pPr>
        <w:pStyle w:val="Style30"/>
        <w:bidi w:val="0"/>
        <w:spacing w:before="0" w:after="283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Отрицательные заключения, </w:t>
      </w:r>
      <w:r>
        <w:rPr>
          <w:rFonts w:ascii="Times New Roman" w:hAnsi="Times New Roman"/>
          <w:shd w:fill="auto" w:val="clear"/>
        </w:rPr>
        <w:t>подготовленные</w:t>
      </w:r>
      <w:r>
        <w:rPr>
          <w:rFonts w:ascii="Times New Roman" w:hAnsi="Times New Roman"/>
          <w:shd w:fill="auto" w:val="clear"/>
        </w:rPr>
        <w:t xml:space="preserve"> по результатам </w:t>
      </w:r>
      <w:r>
        <w:rPr>
          <w:rFonts w:ascii="Times New Roman" w:hAnsi="Times New Roman"/>
          <w:shd w:fill="auto" w:val="clear"/>
        </w:rPr>
        <w:t>ОРВ</w:t>
      </w:r>
      <w:r>
        <w:rPr>
          <w:rFonts w:ascii="Times New Roman" w:hAnsi="Times New Roman"/>
          <w:shd w:fill="auto" w:val="clear"/>
        </w:rPr>
        <w:t>, стимулируют разработчиков нормативных актов к доработке проектов с учетом конкретных замечаний и предложений предпринимателей. Такой механизм способствует совершенствованию нормативной базы и повышению доверия граждан и бизнеса к власти.</w:t>
      </w:r>
    </w:p>
    <w:p>
      <w:pPr>
        <w:pStyle w:val="Style30"/>
        <w:numPr>
          <w:ilvl w:val="0"/>
          <w:numId w:val="0"/>
        </w:numPr>
        <w:tabs>
          <w:tab w:val="left" w:pos="709" w:leader="none"/>
        </w:tabs>
        <w:bidi w:val="0"/>
        <w:spacing w:before="0" w:after="283"/>
        <w:ind w:left="709" w:hanging="0"/>
        <w:rPr>
          <w:rFonts w:ascii="Times New Roman" w:hAnsi="Times New Roman"/>
          <w:b/>
          <w:bCs/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>6. Рекомендации для предпринимателей</w:t>
      </w:r>
    </w:p>
    <w:p>
      <w:pPr>
        <w:pStyle w:val="Style30"/>
        <w:bidi w:val="0"/>
        <w:spacing w:before="0" w:after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Чтобы активно участвовать в процессе нормотворчества, предпринимателям рекомендуется:</w:t>
      </w:r>
    </w:p>
    <w:p>
      <w:pPr>
        <w:pStyle w:val="Style30"/>
        <w:bidi w:val="0"/>
        <w:spacing w:before="0" w:after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– </w:t>
      </w:r>
      <w:r>
        <w:rPr>
          <w:rFonts w:ascii="Times New Roman" w:hAnsi="Times New Roman"/>
          <w:shd w:fill="auto" w:val="clear"/>
        </w:rPr>
        <w:t>следить за публикациями на официальном сайте Министерства экономики Республики Татарстан (https://mert.tatarstan.ru/publichnie-konsultatsii.htm) и на сайтах профильных министерств;</w:t>
      </w:r>
    </w:p>
    <w:p>
      <w:pPr>
        <w:pStyle w:val="Style30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принимать участие в публичных консультациях, высказывать свою обоснованную позицию, подкреплять мнение расчетами и примерами из практики;</w:t>
        <w:br/>
        <w:t xml:space="preserve">– </w:t>
      </w:r>
      <w:r>
        <w:rPr>
          <w:rStyle w:val="Style21"/>
          <w:rFonts w:eastAsia="Source Han Sans CN Regular" w:cs="Lohit Devanagari" w:ascii="Times New Roman" w:hAnsi="Times New Roman"/>
          <w:i w:val="false"/>
          <w:iCs w:val="false"/>
          <w:color w:val="auto"/>
          <w:kern w:val="2"/>
          <w:sz w:val="28"/>
          <w:szCs w:val="24"/>
          <w:lang w:val="ru-RU" w:eastAsia="ru-RU" w:bidi="ru-RU"/>
        </w:rPr>
        <w:t>ознакомляться</w:t>
      </w:r>
      <w:r>
        <w:rPr>
          <w:rFonts w:eastAsia="Source Han Sans CN Regular" w:cs="Lohit Devanagari" w:ascii="Times New Roman" w:hAnsi="Times New Roman"/>
          <w:i w:val="false"/>
          <w:iCs w:val="false"/>
          <w:color w:val="auto"/>
          <w:kern w:val="2"/>
          <w:sz w:val="28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</w:rPr>
        <w:t xml:space="preserve">с заключениями об </w:t>
      </w:r>
      <w:r>
        <w:rPr>
          <w:rFonts w:ascii="Times New Roman" w:hAnsi="Times New Roman"/>
        </w:rPr>
        <w:t>ОРВ</w:t>
      </w:r>
      <w:r>
        <w:rPr>
          <w:rFonts w:ascii="Times New Roman" w:hAnsi="Times New Roman"/>
        </w:rPr>
        <w:t>, чтобы понять, как были учтены их предложения.</w:t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30"/>
        <w:bidi w:val="0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Активное участие в ОРВ не только защищает интересы бизнеса, но и способствует созданию благоприятного инвестиционного климата. В результате совместными усилиями бизнес-сообщества и государства удается минимизировать негативные последствия государственного регулирования, обеспечивая более эффективное решение отраслевых и экономических задач.</w:t>
      </w:r>
    </w:p>
    <w:p>
      <w:pPr>
        <w:pStyle w:val="Style30"/>
        <w:bidi w:val="0"/>
        <w:spacing w:before="0" w:after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Приглашаем предпринимателей к активному участию в обсуждении проектов, ведь именно ваша позиция помогает формировать эффективную и сбалансированную государственную политику.</w:t>
      </w:r>
    </w:p>
    <w:p>
      <w:pPr>
        <w:pStyle w:val="Style3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</w:t>
    </w:r>
    <w:r>
      <w:rPr>
        <w:sz w:val="24"/>
        <w:szCs w:val="24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555</TotalTime>
  <Application>LibreOffice/7.5.6.2$Linux_X86_64 LibreOffice_project/50$Build-2</Application>
  <AppVersion>15.0000</AppVersion>
  <Pages>3</Pages>
  <Words>744</Words>
  <Characters>5895</Characters>
  <CharactersWithSpaces>6613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2025-04-17T11:43:05Z</dcterms:created>
  <dc:creator/>
  <dc:description/>
  <dc:language>ru-RU</dc:language>
  <cp:lastModifiedBy/>
  <cp:lastPrinted>2025-04-22T12:52:52Z</cp:lastPrinted>
  <dcterms:modified xsi:type="dcterms:W3CDTF">2025-07-24T16:08:17Z</dcterms:modified>
  <cp:revision>20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