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54" w:rsidRPr="009F735C" w:rsidRDefault="00533E54" w:rsidP="00533E54">
      <w:pPr>
        <w:widowControl/>
        <w:ind w:left="-142"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9F735C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Приложение № 1</w:t>
      </w:r>
    </w:p>
    <w:p w:rsidR="00C7614B" w:rsidRPr="009F735C" w:rsidRDefault="00C7614B" w:rsidP="00C7614B">
      <w:pPr>
        <w:widowControl/>
        <w:ind w:left="11482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9F735C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к решению Совета Высокогорского</w:t>
      </w:r>
    </w:p>
    <w:p w:rsidR="00C7614B" w:rsidRPr="009F735C" w:rsidRDefault="00C7614B" w:rsidP="00C7614B">
      <w:pPr>
        <w:widowControl/>
        <w:ind w:left="11482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9F735C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муниципального района Республики</w:t>
      </w:r>
    </w:p>
    <w:p w:rsidR="00C7614B" w:rsidRPr="009F735C" w:rsidRDefault="00C7614B" w:rsidP="00C7614B">
      <w:pPr>
        <w:widowControl/>
        <w:ind w:left="11482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9F735C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Татарстан от 24.06.2022 № 173 </w:t>
      </w:r>
    </w:p>
    <w:p w:rsidR="00533E54" w:rsidRPr="009F735C" w:rsidRDefault="00533E54" w:rsidP="00533E54">
      <w:pPr>
        <w:widowControl/>
        <w:ind w:left="-142"/>
        <w:jc w:val="right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:rsidR="00533E54" w:rsidRPr="009F735C" w:rsidRDefault="00533E54" w:rsidP="00533E54">
      <w:pPr>
        <w:widowControl/>
        <w:ind w:left="-142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9F735C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Перечень муниципальных мероприятий для достижения стратегических приоритетов социально-экономического развития Высокогорского муниципального района Республики Татарстан</w:t>
      </w:r>
    </w:p>
    <w:p w:rsidR="00533E54" w:rsidRPr="009F735C" w:rsidRDefault="00533E54" w:rsidP="00533E54">
      <w:pPr>
        <w:widowControl/>
        <w:ind w:left="-567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  <w:r w:rsidRPr="009F735C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  <w:t>на 2022-2027 годы и плановый период до 2030 года.</w:t>
      </w:r>
    </w:p>
    <w:p w:rsidR="00533E54" w:rsidRPr="009F735C" w:rsidRDefault="00533E54" w:rsidP="00533E54">
      <w:pPr>
        <w:widowControl/>
        <w:ind w:left="-567"/>
        <w:jc w:val="center"/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551"/>
        <w:gridCol w:w="1985"/>
        <w:gridCol w:w="2410"/>
        <w:gridCol w:w="1134"/>
        <w:gridCol w:w="1275"/>
        <w:gridCol w:w="1984"/>
        <w:gridCol w:w="2127"/>
      </w:tblGrid>
      <w:tr w:rsidR="00533E54" w:rsidRPr="009F735C" w:rsidTr="0034096C">
        <w:trPr>
          <w:trHeight w:val="934"/>
        </w:trPr>
        <w:tc>
          <w:tcPr>
            <w:tcW w:w="1980" w:type="dxa"/>
            <w:shd w:val="clear" w:color="auto" w:fill="FFFFFF"/>
            <w:hideMark/>
          </w:tcPr>
          <w:p w:rsidR="00533E54" w:rsidRPr="009F735C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Основные </w:t>
            </w:r>
          </w:p>
          <w:p w:rsidR="00533E54" w:rsidRPr="009F735C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направления </w:t>
            </w:r>
          </w:p>
          <w:p w:rsidR="00533E54" w:rsidRPr="009F735C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действий </w:t>
            </w:r>
          </w:p>
          <w:p w:rsidR="00533E54" w:rsidRPr="009F735C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Стратегии / проекты</w:t>
            </w:r>
          </w:p>
        </w:tc>
        <w:tc>
          <w:tcPr>
            <w:tcW w:w="2551" w:type="dxa"/>
            <w:shd w:val="clear" w:color="auto" w:fill="FFFFFF"/>
            <w:hideMark/>
          </w:tcPr>
          <w:p w:rsidR="00533E54" w:rsidRPr="009F735C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Наименование</w:t>
            </w:r>
          </w:p>
          <w:p w:rsidR="00533E54" w:rsidRPr="009F735C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основных мероприятий</w:t>
            </w:r>
          </w:p>
        </w:tc>
        <w:tc>
          <w:tcPr>
            <w:tcW w:w="1985" w:type="dxa"/>
            <w:shd w:val="clear" w:color="auto" w:fill="FFFFFF"/>
          </w:tcPr>
          <w:p w:rsidR="00533E54" w:rsidRPr="009F735C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Наименование </w:t>
            </w:r>
          </w:p>
          <w:p w:rsidR="00533E54" w:rsidRPr="009F735C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Программы, подпрограммы (если имеется)</w:t>
            </w:r>
          </w:p>
        </w:tc>
        <w:tc>
          <w:tcPr>
            <w:tcW w:w="2410" w:type="dxa"/>
            <w:shd w:val="clear" w:color="auto" w:fill="FFFFFF"/>
            <w:hideMark/>
          </w:tcPr>
          <w:p w:rsidR="00533E54" w:rsidRPr="009F735C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Ответственный </w:t>
            </w:r>
          </w:p>
          <w:p w:rsidR="00533E54" w:rsidRPr="009F735C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исполнитель, исполнители</w:t>
            </w:r>
          </w:p>
        </w:tc>
        <w:tc>
          <w:tcPr>
            <w:tcW w:w="1134" w:type="dxa"/>
            <w:shd w:val="clear" w:color="auto" w:fill="FFFFFF"/>
            <w:hideMark/>
          </w:tcPr>
          <w:p w:rsidR="00533E54" w:rsidRPr="009F735C" w:rsidRDefault="00533E54" w:rsidP="00533E54">
            <w:pPr>
              <w:keepNext/>
              <w:widowControl/>
              <w:ind w:left="34" w:hanging="3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Период реализации</w:t>
            </w:r>
          </w:p>
        </w:tc>
        <w:tc>
          <w:tcPr>
            <w:tcW w:w="1275" w:type="dxa"/>
            <w:shd w:val="clear" w:color="auto" w:fill="FFFFFF"/>
          </w:tcPr>
          <w:p w:rsidR="00533E54" w:rsidRPr="009F735C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Этапы </w:t>
            </w:r>
          </w:p>
          <w:p w:rsidR="00533E54" w:rsidRPr="009F735C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реализации</w:t>
            </w:r>
          </w:p>
          <w:p w:rsidR="00533E54" w:rsidRPr="009F735C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(I – 2022 – </w:t>
            </w: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br/>
              <w:t>2024 годы;</w:t>
            </w:r>
          </w:p>
          <w:p w:rsidR="00533E54" w:rsidRPr="009F735C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II – 2025 – </w:t>
            </w: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br/>
              <w:t>2027 годы;</w:t>
            </w:r>
          </w:p>
          <w:p w:rsidR="00533E54" w:rsidRPr="009F735C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III –  2027 – 2030 годы)</w:t>
            </w:r>
          </w:p>
        </w:tc>
        <w:tc>
          <w:tcPr>
            <w:tcW w:w="1984" w:type="dxa"/>
            <w:shd w:val="clear" w:color="auto" w:fill="FFFFFF"/>
            <w:hideMark/>
          </w:tcPr>
          <w:p w:rsidR="00533E54" w:rsidRPr="009F735C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Ожидаемые </w:t>
            </w:r>
          </w:p>
          <w:p w:rsidR="00533E54" w:rsidRPr="009F735C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результаты</w:t>
            </w:r>
          </w:p>
        </w:tc>
        <w:tc>
          <w:tcPr>
            <w:tcW w:w="2127" w:type="dxa"/>
            <w:shd w:val="clear" w:color="auto" w:fill="FFFFFF"/>
          </w:tcPr>
          <w:p w:rsidR="00533E54" w:rsidRPr="009F735C" w:rsidRDefault="00533E54" w:rsidP="00533E54">
            <w:pPr>
              <w:keepNext/>
              <w:widowControl/>
              <w:ind w:left="34" w:right="39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Отчет </w:t>
            </w:r>
          </w:p>
          <w:p w:rsidR="00533E54" w:rsidRPr="009F735C" w:rsidRDefault="00533E54" w:rsidP="00533E54">
            <w:pPr>
              <w:keepNext/>
              <w:widowControl/>
              <w:ind w:left="34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о выполнении мероприятий</w:t>
            </w:r>
            <w:r w:rsidR="002F2FFF" w:rsidRPr="009F735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 2022 год</w:t>
            </w:r>
          </w:p>
        </w:tc>
      </w:tr>
      <w:tr w:rsidR="00533E54" w:rsidRPr="009F735C" w:rsidTr="0034096C">
        <w:trPr>
          <w:trHeight w:val="132"/>
          <w:tblHeader/>
        </w:trPr>
        <w:tc>
          <w:tcPr>
            <w:tcW w:w="1980" w:type="dxa"/>
            <w:shd w:val="clear" w:color="000000" w:fill="FFFFFF"/>
          </w:tcPr>
          <w:p w:rsidR="00533E54" w:rsidRPr="009F735C" w:rsidRDefault="00533E54" w:rsidP="00533E54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000000" w:fill="FFFFFF"/>
          </w:tcPr>
          <w:p w:rsidR="00533E54" w:rsidRPr="009F735C" w:rsidRDefault="00533E54" w:rsidP="00533E54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000000" w:fill="FFFFFF"/>
          </w:tcPr>
          <w:p w:rsidR="00533E54" w:rsidRPr="009F735C" w:rsidRDefault="00533E54" w:rsidP="00533E54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000000" w:fill="FFFFFF"/>
          </w:tcPr>
          <w:p w:rsidR="00533E54" w:rsidRPr="009F735C" w:rsidRDefault="00533E54" w:rsidP="00533E54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533E54" w:rsidRPr="009F735C" w:rsidRDefault="00533E54" w:rsidP="00533E54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000000" w:fill="FFFFFF"/>
          </w:tcPr>
          <w:p w:rsidR="00533E54" w:rsidRPr="009F735C" w:rsidRDefault="00533E54" w:rsidP="00533E54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1984" w:type="dxa"/>
            <w:shd w:val="clear" w:color="000000" w:fill="FFFFFF"/>
          </w:tcPr>
          <w:p w:rsidR="00533E54" w:rsidRPr="009F735C" w:rsidRDefault="00533E54" w:rsidP="00533E54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</w:tcPr>
          <w:p w:rsidR="00533E54" w:rsidRPr="009F735C" w:rsidRDefault="00533E54" w:rsidP="00533E54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</w:tr>
      <w:tr w:rsidR="00912E3B" w:rsidRPr="009F735C" w:rsidTr="0034096C">
        <w:trPr>
          <w:trHeight w:val="415"/>
        </w:trPr>
        <w:tc>
          <w:tcPr>
            <w:tcW w:w="1980" w:type="dxa"/>
            <w:vMerge w:val="restart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keepLines/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 Эффективное распределение мер по ключевым стадиям жизненного цикла семей</w:t>
            </w:r>
          </w:p>
        </w:tc>
        <w:tc>
          <w:tcPr>
            <w:tcW w:w="2551" w:type="dxa"/>
            <w:vMerge w:val="restart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1.1. Реализация мер по поддержке семей, нуждающихся в улучшении жилищных условий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98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1.1.1. государственная федеральная программа "Комплексное развитие сельских территорий»</w:t>
            </w:r>
          </w:p>
        </w:tc>
        <w:tc>
          <w:tcPr>
            <w:tcW w:w="2410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Сектор по учету и распределению жилья отдела строительства, архитектуры и ЖКХ Исполнительного комитета Высокогорского муниципального района</w:t>
            </w:r>
          </w:p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2024 годы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I, II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Рост обеспеченности общей площадью жилья в расчете на одного жителя свыше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18 кв. метра к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2024 году</w:t>
            </w:r>
          </w:p>
        </w:tc>
        <w:tc>
          <w:tcPr>
            <w:tcW w:w="2127" w:type="dxa"/>
            <w:shd w:val="clear" w:color="000000" w:fill="FFFFFF"/>
          </w:tcPr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семья/</w:t>
            </w:r>
          </w:p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5чел./</w:t>
            </w:r>
          </w:p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90кв.м.</w:t>
            </w:r>
          </w:p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E700D" w:rsidRDefault="000E700D" w:rsidP="000E700D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Обеспеченность общей площадью жилья в расчете на одного жителя</w:t>
            </w:r>
            <w:r w:rsidR="00D60357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2022г.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– 38,02</w:t>
            </w:r>
            <w:r w:rsidR="00D60357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кв.м.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(рост на 7%)</w:t>
            </w:r>
            <w:r w:rsidR="008D51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8D51D5" w:rsidRDefault="008D51D5" w:rsidP="000E700D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D51D5" w:rsidRPr="008D51D5" w:rsidRDefault="008D51D5" w:rsidP="008D51D5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Реализация мер по поддержке семей, нуждающихся в улучшении жилищных условий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будет продолжена</w:t>
            </w:r>
          </w:p>
        </w:tc>
      </w:tr>
      <w:tr w:rsidR="00912E3B" w:rsidRPr="009F735C" w:rsidTr="0034096C">
        <w:trPr>
          <w:trHeight w:val="415"/>
        </w:trPr>
        <w:tc>
          <w:tcPr>
            <w:tcW w:w="1980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 w:firstLine="709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1.1.2. государствен-ная региональная  программа «Об утверждении Правил и порядка постановки на учет нуждающихся в улучшении жилищных условий в системе социальной ипотеки»</w:t>
            </w:r>
          </w:p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 Сектор по учету и распределению жилья отдела строительства, архитектуры 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2027 годы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I, II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Рост обеспеченности общей площадью жилья в расчете на одного жителя свыше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18 кв. метра к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2027 году</w:t>
            </w:r>
          </w:p>
        </w:tc>
        <w:tc>
          <w:tcPr>
            <w:tcW w:w="2127" w:type="dxa"/>
            <w:shd w:val="clear" w:color="000000" w:fill="FFFFFF"/>
          </w:tcPr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79 семей/</w:t>
            </w:r>
          </w:p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237чел./</w:t>
            </w:r>
          </w:p>
          <w:p w:rsidR="00912E3B" w:rsidRDefault="00912E3B" w:rsidP="00912E3B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4266кв.м.</w:t>
            </w:r>
          </w:p>
          <w:p w:rsidR="008D51D5" w:rsidRDefault="008D51D5" w:rsidP="00912E3B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D51D5" w:rsidRPr="009F735C" w:rsidRDefault="008D51D5" w:rsidP="00912E3B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Реализация мер по поддержке семей, нуждающихся в улучшении жилищных условий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будет продолжена</w:t>
            </w:r>
          </w:p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60357" w:rsidRPr="009F735C" w:rsidRDefault="00D60357" w:rsidP="00912E3B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12E3B" w:rsidRPr="009F735C" w:rsidTr="0034096C">
        <w:trPr>
          <w:trHeight w:val="415"/>
        </w:trPr>
        <w:tc>
          <w:tcPr>
            <w:tcW w:w="1980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 w:firstLine="709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1.1.3. государственная региональная программа  «О мерах по обеспечению жильем многодетных семей, нуждающихся в улучшении жилищных условий»</w:t>
            </w:r>
          </w:p>
        </w:tc>
        <w:tc>
          <w:tcPr>
            <w:tcW w:w="2410" w:type="dxa"/>
            <w:shd w:val="clear" w:color="000000" w:fill="FFFFFF"/>
          </w:tcPr>
          <w:p w:rsidR="00912E3B" w:rsidRPr="009F735C" w:rsidRDefault="00912E3B" w:rsidP="002F01B9">
            <w:pPr>
              <w:keepNext/>
              <w:widowControl/>
              <w:spacing w:line="228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Сектор по учету и распределению жилья отдела строительства, архитектуры 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2027 годы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I, II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Рост обеспеченности общей площадью жилья в расчете на одного жителя свыше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18 кв. метра к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2024 году</w:t>
            </w:r>
          </w:p>
        </w:tc>
        <w:tc>
          <w:tcPr>
            <w:tcW w:w="2127" w:type="dxa"/>
            <w:shd w:val="clear" w:color="000000" w:fill="FFFFFF"/>
          </w:tcPr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семья/</w:t>
            </w:r>
          </w:p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8чел./</w:t>
            </w:r>
          </w:p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77,1кв.м.</w:t>
            </w:r>
          </w:p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60357" w:rsidRPr="009F735C" w:rsidRDefault="008D51D5" w:rsidP="00912E3B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Реализация мер по поддержке семей, нуждающихся в улучшении жилищных условий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будет продолжена</w:t>
            </w:r>
          </w:p>
        </w:tc>
      </w:tr>
      <w:tr w:rsidR="00912E3B" w:rsidRPr="009F735C" w:rsidTr="0034096C">
        <w:trPr>
          <w:trHeight w:val="415"/>
        </w:trPr>
        <w:tc>
          <w:tcPr>
            <w:tcW w:w="1980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 w:firstLine="709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1.1.4. ведомственная целевая программа «Об утверждении Правил выпуска и реализации государственных жилищных сертификатов в рамках реализации»</w:t>
            </w:r>
          </w:p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 Сектор по учету и распределению жилья отдела строительства, архитектуры 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2024 годы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Рост обеспеченности общей площадью жилья в расчете на одного жителя свыше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18 кв. метра к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2024 году</w:t>
            </w:r>
          </w:p>
        </w:tc>
        <w:tc>
          <w:tcPr>
            <w:tcW w:w="2127" w:type="dxa"/>
            <w:shd w:val="clear" w:color="000000" w:fill="FFFFFF"/>
          </w:tcPr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семья/</w:t>
            </w:r>
          </w:p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3чел./</w:t>
            </w:r>
          </w:p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54кв.м.</w:t>
            </w:r>
          </w:p>
          <w:p w:rsidR="00D60357" w:rsidRPr="009F735C" w:rsidRDefault="00D60357" w:rsidP="00912E3B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12E3B" w:rsidRPr="009F735C" w:rsidRDefault="008D51D5" w:rsidP="00912E3B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Реализация мер по поддержке семей, нуждающихся в улучшении жилищных условий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будет продолжена</w:t>
            </w:r>
          </w:p>
        </w:tc>
      </w:tr>
      <w:tr w:rsidR="00912E3B" w:rsidRPr="009F735C" w:rsidTr="0034096C">
        <w:trPr>
          <w:trHeight w:val="415"/>
        </w:trPr>
        <w:tc>
          <w:tcPr>
            <w:tcW w:w="1980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 w:firstLine="709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1.1.5. государственная федеральная программа «Об утверждении Положения о предоставлении субсидий на приобретение жилья за счет субвенций, выделяемых из федерального бюджета, отдельным категориям граждан»</w:t>
            </w:r>
          </w:p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 Сектор по учету и распределению жилья отдела строительства, архитектуры 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2027 годы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I, II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Рост обеспеченности общей площадью жилья в расчете на одного жителя свыше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18 кв. метра к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2024 году</w:t>
            </w:r>
          </w:p>
        </w:tc>
        <w:tc>
          <w:tcPr>
            <w:tcW w:w="2127" w:type="dxa"/>
            <w:shd w:val="clear" w:color="000000" w:fill="FFFFFF"/>
          </w:tcPr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семьи/</w:t>
            </w:r>
          </w:p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2чел./</w:t>
            </w:r>
          </w:p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36кв.</w:t>
            </w:r>
          </w:p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D60357" w:rsidRPr="009F735C" w:rsidRDefault="008D51D5" w:rsidP="00912E3B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Реализация мер по поддержке семей, нуждающихся в улучшении жилищных условий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будет продолжена</w:t>
            </w:r>
          </w:p>
        </w:tc>
      </w:tr>
      <w:tr w:rsidR="00912E3B" w:rsidRPr="009F735C" w:rsidTr="007A7F4C">
        <w:trPr>
          <w:trHeight w:val="1124"/>
        </w:trPr>
        <w:tc>
          <w:tcPr>
            <w:tcW w:w="198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  Снижение</w:t>
            </w:r>
          </w:p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смертности и рост продолжительности жизни</w:t>
            </w:r>
          </w:p>
        </w:tc>
        <w:tc>
          <w:tcPr>
            <w:tcW w:w="2551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2.1.Увеличение охвата диспансеризацией определенных групп взрослого населения и профилактическими мед. осмотрами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-102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Национальный проект РФ “Демография”</w:t>
            </w:r>
          </w:p>
        </w:tc>
        <w:tc>
          <w:tcPr>
            <w:tcW w:w="241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ГАУЗ "Высокогорская ЦРБ"</w:t>
            </w:r>
          </w:p>
        </w:tc>
        <w:tc>
          <w:tcPr>
            <w:tcW w:w="1134" w:type="dxa"/>
            <w:shd w:val="clear" w:color="000000" w:fill="FFFFFF"/>
          </w:tcPr>
          <w:p w:rsidR="00912E3B" w:rsidRPr="009F735C" w:rsidRDefault="00912E3B" w:rsidP="004B5618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2022-2024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Снижение смертности населения трудоспособного возраста</w:t>
            </w:r>
          </w:p>
        </w:tc>
        <w:tc>
          <w:tcPr>
            <w:tcW w:w="2127" w:type="dxa"/>
            <w:shd w:val="clear" w:color="000000" w:fill="FFFFFF"/>
          </w:tcPr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год</w:t>
            </w:r>
            <w:r w:rsidR="00392A74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="00392A74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514,9</w:t>
            </w:r>
          </w:p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100 тыс. населения</w:t>
            </w:r>
          </w:p>
          <w:p w:rsidR="00912E3B" w:rsidRPr="009F735C" w:rsidRDefault="00392A74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или 156 человек</w:t>
            </w:r>
            <w:r w:rsidR="00912E3B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</w:p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Охват  </w:t>
            </w:r>
            <w:r w:rsidRPr="009F735C">
              <w:rPr>
                <w:sz w:val="22"/>
                <w:szCs w:val="22"/>
              </w:rPr>
              <w:t xml:space="preserve"> 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диспансеризацией определенных групп взрослого населения и профилактическими мед. осмотрами в 2022 году </w:t>
            </w:r>
            <w:r w:rsidRPr="000220B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- </w:t>
            </w:r>
            <w:r w:rsidRPr="000220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869F9" w:rsidRPr="000220B3">
              <w:rPr>
                <w:rFonts w:ascii="Times New Roman" w:hAnsi="Times New Roman" w:cs="Times New Roman"/>
                <w:sz w:val="22"/>
                <w:szCs w:val="22"/>
              </w:rPr>
              <w:t>6949</w:t>
            </w: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 чел.</w:t>
            </w:r>
            <w:r w:rsidR="00D4085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:rsidR="00912E3B" w:rsidRDefault="00912E3B" w:rsidP="0018085E">
            <w:pPr>
              <w:keepNext/>
              <w:widowControl/>
              <w:spacing w:line="228" w:lineRule="auto"/>
              <w:ind w:left="34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Количество лиц, осмотренных в ходе профилактического медицинского</w:t>
            </w:r>
            <w:r w:rsidR="00354CE7"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осмотра -1445 чел.</w:t>
            </w:r>
          </w:p>
          <w:p w:rsidR="00D4085B" w:rsidRPr="009F735C" w:rsidRDefault="00D4085B" w:rsidP="0018085E">
            <w:pPr>
              <w:keepNext/>
              <w:widowControl/>
              <w:spacing w:line="228" w:lineRule="auto"/>
              <w:ind w:left="34"/>
              <w:contextualSpacing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D4085B" w:rsidRPr="009F735C" w:rsidRDefault="00AB4349" w:rsidP="00AB4349">
            <w:pPr>
              <w:keepNext/>
              <w:widowControl/>
              <w:spacing w:line="228" w:lineRule="auto"/>
              <w:ind w:left="34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Работа по ув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еличени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охвата диспансеризацией определенных групп взрослого населения и профилактическими мед. осмотрами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912E3B" w:rsidRPr="009F735C" w:rsidTr="0034096C">
        <w:trPr>
          <w:trHeight w:val="415"/>
        </w:trPr>
        <w:tc>
          <w:tcPr>
            <w:tcW w:w="1980" w:type="dxa"/>
            <w:shd w:val="clear" w:color="000000" w:fill="FFFFFF"/>
          </w:tcPr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2.2.Увеличение охвата и эффективности диспансерного наблюдения пациентов состоящих на Д учете</w:t>
            </w:r>
            <w:r w:rsidR="00EA4B94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2022-2024</w:t>
            </w:r>
          </w:p>
          <w:p w:rsidR="00912E3B" w:rsidRPr="009F735C" w:rsidRDefault="00912E3B" w:rsidP="00912E3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Снижение смертности от болезней системы кровообращения</w:t>
            </w:r>
          </w:p>
        </w:tc>
        <w:tc>
          <w:tcPr>
            <w:tcW w:w="2127" w:type="dxa"/>
            <w:shd w:val="clear" w:color="000000" w:fill="FFFFFF"/>
          </w:tcPr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</w:t>
            </w:r>
            <w:r w:rsidR="00DD6C17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год -522,9 </w:t>
            </w:r>
            <w:r w:rsidRPr="009F735C">
              <w:rPr>
                <w:sz w:val="22"/>
                <w:szCs w:val="22"/>
              </w:rPr>
              <w:t xml:space="preserve"> </w:t>
            </w:r>
            <w:r w:rsidR="00C23AA7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 100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населения</w:t>
            </w:r>
          </w:p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или 285 человек,</w:t>
            </w:r>
          </w:p>
          <w:p w:rsidR="002C2706" w:rsidRPr="009F735C" w:rsidRDefault="002C2706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12E3B" w:rsidRPr="009F735C" w:rsidRDefault="002C2706" w:rsidP="002C2706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Увеличен охват и эффективность диспансерного наблюдения пациентов состоящих на Д учете: за 2022 г. -18532чел-100%.</w:t>
            </w:r>
          </w:p>
          <w:p w:rsidR="00372495" w:rsidRDefault="00372495" w:rsidP="00372495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Для удобства граждан района диспансеризацию работающих граждан принято проводить и в субботу на базе ГАУЗ «Высокогорская ЦРБ»</w:t>
            </w:r>
          </w:p>
          <w:p w:rsidR="001869F9" w:rsidRDefault="001869F9" w:rsidP="00372495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17042" w:rsidRDefault="00817042" w:rsidP="00817042">
            <w:pPr>
              <w:keepNext/>
              <w:keepLines/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Р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абота по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профилактике заболеваний, культивированию 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здорового образа жизни и охраны здоровья населения района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будет продолжена.</w:t>
            </w:r>
          </w:p>
          <w:p w:rsidR="001869F9" w:rsidRPr="009F735C" w:rsidRDefault="001869F9" w:rsidP="00372495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12E3B" w:rsidRPr="009F735C" w:rsidTr="0034096C">
        <w:trPr>
          <w:trHeight w:val="415"/>
        </w:trPr>
        <w:tc>
          <w:tcPr>
            <w:tcW w:w="1980" w:type="dxa"/>
            <w:shd w:val="clear" w:color="000000" w:fill="FFFFFF"/>
          </w:tcPr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2.3.Информирование населения о факторах  риска хронических неинфекционных заболеваний с указанием их целевых показателей 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2022-2024</w:t>
            </w:r>
          </w:p>
          <w:p w:rsidR="00912E3B" w:rsidRPr="009F735C" w:rsidRDefault="00912E3B" w:rsidP="00912E3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Снижение смертности от новообразований</w:t>
            </w:r>
          </w:p>
        </w:tc>
        <w:tc>
          <w:tcPr>
            <w:tcW w:w="2127" w:type="dxa"/>
            <w:shd w:val="clear" w:color="000000" w:fill="FFFFFF"/>
          </w:tcPr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год-</w:t>
            </w:r>
          </w:p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198,2</w:t>
            </w:r>
            <w:r w:rsidR="00FE3819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100 тыс. населения</w:t>
            </w:r>
          </w:p>
          <w:p w:rsidR="00673F1D" w:rsidRPr="009F735C" w:rsidRDefault="00912E3B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или 108 человека,</w:t>
            </w:r>
          </w:p>
          <w:p w:rsidR="0026239C" w:rsidRPr="009F735C" w:rsidRDefault="00912E3B" w:rsidP="004B58BE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Информирование </w:t>
            </w:r>
            <w:r w:rsidRPr="00162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населения о факторах  риска хронических неинфекционных заболеваний с указанием их целевых показателей-89%</w:t>
            </w:r>
            <w:r w:rsidR="00EA4B94" w:rsidRPr="001620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Работа</w:t>
            </w:r>
            <w:r w:rsidR="004B58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данном направлении будет продолжена.</w:t>
            </w:r>
          </w:p>
        </w:tc>
      </w:tr>
      <w:tr w:rsidR="00912E3B" w:rsidRPr="009F735C" w:rsidTr="0034096C">
        <w:trPr>
          <w:trHeight w:val="415"/>
        </w:trPr>
        <w:tc>
          <w:tcPr>
            <w:tcW w:w="1980" w:type="dxa"/>
            <w:shd w:val="clear" w:color="000000" w:fill="FFFFFF"/>
          </w:tcPr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</w:tcPr>
          <w:p w:rsidR="00912E3B" w:rsidRPr="009F735C" w:rsidRDefault="00912E3B" w:rsidP="001F6C0D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2.4.Увеличение выявляемости онкологических пациентов на ранних стадиях заболевания</w:t>
            </w:r>
          </w:p>
        </w:tc>
        <w:tc>
          <w:tcPr>
            <w:tcW w:w="1985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2022-2024</w:t>
            </w:r>
          </w:p>
          <w:p w:rsidR="00912E3B" w:rsidRPr="009F735C" w:rsidRDefault="00912E3B" w:rsidP="00912E3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Снижение младенческой и материнской смертности</w:t>
            </w:r>
          </w:p>
        </w:tc>
        <w:tc>
          <w:tcPr>
            <w:tcW w:w="2127" w:type="dxa"/>
            <w:shd w:val="clear" w:color="000000" w:fill="FFFFFF"/>
          </w:tcPr>
          <w:p w:rsidR="00673F1D" w:rsidRPr="009F735C" w:rsidRDefault="00CD4BCB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Младенческая смертность в</w:t>
            </w:r>
            <w:r w:rsidR="00912E3B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2022 году</w:t>
            </w:r>
            <w:r w:rsidR="000C4203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12E3B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-8,1 на 1000 . родившихся живыми или 5 чел. </w:t>
            </w:r>
          </w:p>
          <w:p w:rsidR="00673F1D" w:rsidRPr="009F735C" w:rsidRDefault="00673F1D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12E3B" w:rsidRPr="009F735C" w:rsidRDefault="00CD4BCB" w:rsidP="006E1C1F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73F1D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целью выявления новообразований на раннем этапе проводятся профилактические осмотры, сдача кала на скрытую кровь, маммография у женщин, обязательная ежегодная флюорография легких.</w:t>
            </w:r>
            <w:r w:rsidR="00015BFA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E1C1F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E1C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Работа по у</w:t>
            </w:r>
            <w:r w:rsidR="006E1C1F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величени</w:t>
            </w:r>
            <w:r w:rsidR="006E1C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</w:t>
            </w:r>
            <w:r w:rsidR="006E1C1F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выявляемости онкологических пациентов на ранних стадиях заболевания</w:t>
            </w:r>
            <w:r w:rsidR="006E1C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будет продолжена.</w:t>
            </w:r>
          </w:p>
        </w:tc>
      </w:tr>
      <w:tr w:rsidR="00912E3B" w:rsidRPr="009F735C" w:rsidTr="0034096C">
        <w:trPr>
          <w:trHeight w:val="415"/>
        </w:trPr>
        <w:tc>
          <w:tcPr>
            <w:tcW w:w="1980" w:type="dxa"/>
            <w:shd w:val="clear" w:color="000000" w:fill="FFFFFF"/>
          </w:tcPr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2.5.Увеличение охвата вакцинацией населения от коронавирусной инфекции и от гриппа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2022-2024</w:t>
            </w:r>
          </w:p>
          <w:p w:rsidR="00912E3B" w:rsidRPr="009F735C" w:rsidRDefault="00912E3B" w:rsidP="00912E3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Рост продолжительности жизни до 78 л к 2024 г и до 80 лет к 2030 году </w:t>
            </w:r>
          </w:p>
        </w:tc>
        <w:tc>
          <w:tcPr>
            <w:tcW w:w="2127" w:type="dxa"/>
            <w:shd w:val="clear" w:color="000000" w:fill="FFFFFF"/>
          </w:tcPr>
          <w:p w:rsidR="00D77327" w:rsidRPr="009F735C" w:rsidRDefault="00D77327" w:rsidP="00D77327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Вакцинация против короновирусной инфекции</w:t>
            </w:r>
            <w:r w:rsidR="00015BFA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ведется </w:t>
            </w:r>
            <w:r w:rsidR="007F1A92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активно.</w:t>
            </w:r>
          </w:p>
          <w:p w:rsidR="00D77327" w:rsidRPr="009F735C" w:rsidRDefault="00D77327" w:rsidP="00D77327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План вакцинации  32821 человек, привито- 40942 человек (124,7 от плана)</w:t>
            </w:r>
          </w:p>
          <w:p w:rsidR="00D77327" w:rsidRPr="009F735C" w:rsidRDefault="00D77327" w:rsidP="00D77327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Вакцинация против гриппа:</w:t>
            </w:r>
          </w:p>
          <w:p w:rsidR="00D77327" w:rsidRPr="009F735C" w:rsidRDefault="007F1A92" w:rsidP="00D77327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План вакцинации – 32965 че</w:t>
            </w:r>
            <w:r w:rsidR="00D77327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ловек. </w:t>
            </w:r>
          </w:p>
          <w:p w:rsidR="00B700B8" w:rsidRPr="009F735C" w:rsidRDefault="00D77327" w:rsidP="00B700B8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Получено 24520 доз вакцины, привито 24520 </w:t>
            </w:r>
            <w:r w:rsidR="00015BFA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человек,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что составляет 100 % от получен</w:t>
            </w:r>
            <w:r w:rsidR="00B700B8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ной вакцины и 74,4   % от план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="00B700B8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912E3B" w:rsidRPr="009F735C" w:rsidRDefault="00912E3B" w:rsidP="00B700B8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Продолжительность жизни в 2022 году -74,7 г.</w:t>
            </w:r>
            <w:r w:rsidR="007F1A92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7F1A92" w:rsidRPr="009F735C" w:rsidRDefault="007F1A92" w:rsidP="002A0A85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Комплексный подход к охране и сохранению здоровья населения</w:t>
            </w:r>
            <w:r w:rsidR="002A0A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в т.ч. вакцинация населения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будет продолжен</w:t>
            </w:r>
            <w:r w:rsidR="002A0A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а. </w:t>
            </w:r>
          </w:p>
        </w:tc>
      </w:tr>
      <w:tr w:rsidR="00912E3B" w:rsidRPr="009F735C" w:rsidTr="0034096C">
        <w:trPr>
          <w:trHeight w:val="415"/>
        </w:trPr>
        <w:tc>
          <w:tcPr>
            <w:tcW w:w="1980" w:type="dxa"/>
            <w:shd w:val="clear" w:color="000000" w:fill="FFFFFF"/>
          </w:tcPr>
          <w:p w:rsidR="00912E3B" w:rsidRPr="009F735C" w:rsidRDefault="00912E3B" w:rsidP="00F251E6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2.1.Обеспечение качественной, доступной медицинской помощи для сохранения и укрепления здоровья граждан Высокогорского района</w:t>
            </w:r>
          </w:p>
        </w:tc>
        <w:tc>
          <w:tcPr>
            <w:tcW w:w="2551" w:type="dxa"/>
            <w:shd w:val="clear" w:color="auto" w:fill="auto"/>
          </w:tcPr>
          <w:p w:rsidR="00912E3B" w:rsidRPr="009F735C" w:rsidRDefault="00912E3B" w:rsidP="00912E3B">
            <w:pPr>
              <w:keepNext/>
              <w:widowControl/>
              <w:ind w:left="33" w:firstLine="1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2.1.1.Заключение соглашений о внедрении в районную центральную больницу высокотехнологического интерактивного медицинского диагностирования и лечения (удаленное онлайн консультирование либо консилиум врачей).</w:t>
            </w:r>
          </w:p>
          <w:p w:rsidR="00912E3B" w:rsidRPr="009F735C" w:rsidRDefault="00912E3B" w:rsidP="00912E3B">
            <w:pPr>
              <w:keepNext/>
              <w:widowControl/>
              <w:ind w:left="33" w:firstLine="1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без включения в государственную программу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12E3B" w:rsidRPr="009F735C" w:rsidRDefault="00912E3B" w:rsidP="00912E3B">
            <w:pPr>
              <w:keepNext/>
              <w:widowControl/>
              <w:ind w:left="34" w:firstLine="709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ГАУЗ "Высокогорская ЦРБ"</w:t>
            </w:r>
          </w:p>
        </w:tc>
        <w:tc>
          <w:tcPr>
            <w:tcW w:w="1134" w:type="dxa"/>
            <w:shd w:val="clear" w:color="auto" w:fill="auto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2022-2027</w:t>
            </w:r>
          </w:p>
        </w:tc>
        <w:tc>
          <w:tcPr>
            <w:tcW w:w="1275" w:type="dxa"/>
            <w:shd w:val="clear" w:color="auto" w:fill="auto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I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,II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12E3B" w:rsidRPr="009F735C" w:rsidRDefault="00912E3B" w:rsidP="00912E3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Облегчение прохождения медицинских осмотров, увеличение вероятности выявления болезней на ранних стадиях.</w:t>
            </w:r>
          </w:p>
        </w:tc>
        <w:tc>
          <w:tcPr>
            <w:tcW w:w="2127" w:type="dxa"/>
            <w:shd w:val="clear" w:color="auto" w:fill="auto"/>
          </w:tcPr>
          <w:p w:rsidR="00D86FA0" w:rsidRPr="009F735C" w:rsidRDefault="002507E9" w:rsidP="00D86FA0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</w:t>
            </w:r>
            <w:r w:rsidR="002639A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ЦРБ </w:t>
            </w:r>
            <w:r w:rsidR="00912E3B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доступно прохождение КТ, маммографи</w:t>
            </w:r>
            <w:r w:rsidR="00D86FA0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="00912E3B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ЭКГ и У</w:t>
            </w:r>
            <w:r w:rsidR="00D86FA0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ЗИ сердца.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Установлена </w:t>
            </w:r>
            <w:r w:rsidR="00BA75D0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связь ЦРБ с РКБ и 7 гб г.Казани</w:t>
            </w:r>
            <w:r w:rsidRPr="009F735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,</w:t>
            </w:r>
            <w:r w:rsidRPr="009F735C">
              <w:rPr>
                <w:sz w:val="22"/>
                <w:szCs w:val="22"/>
              </w:rPr>
              <w:t xml:space="preserve"> (</w:t>
            </w:r>
            <w:r w:rsidRPr="009F735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удаленное онлайн консультирование либо консилиум врачей)</w:t>
            </w:r>
          </w:p>
          <w:p w:rsidR="00912E3B" w:rsidRDefault="00D86FA0" w:rsidP="00D86FA0">
            <w:pPr>
              <w:keepNext/>
              <w:widowControl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В</w:t>
            </w:r>
            <w:r w:rsidR="00912E3B" w:rsidRPr="009F735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 всех пяти амбулаториях и участковой больнице и 50 ФАПах установлен</w:t>
            </w:r>
            <w:r w:rsidR="0047495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</w:t>
            </w:r>
            <w:r w:rsidR="00912E3B" w:rsidRPr="009F735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912E3B" w:rsidRPr="009F735C">
              <w:rPr>
                <w:sz w:val="22"/>
                <w:szCs w:val="22"/>
              </w:rPr>
              <w:t xml:space="preserve"> </w:t>
            </w:r>
            <w:r w:rsidR="00912E3B" w:rsidRPr="009F735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удаленное онлайн консультирование</w:t>
            </w:r>
            <w:r w:rsidR="0034096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9E0969" w:rsidRPr="00C1724A" w:rsidRDefault="009E0969" w:rsidP="009E0969">
            <w:pPr>
              <w:keepNext/>
              <w:widowControl/>
              <w:ind w:left="34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 2027 года планируется ремонт здания стационара</w:t>
            </w:r>
            <w:r w:rsidR="00F4447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Высокогорской ЦРБ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частичная замена оборудования.</w:t>
            </w:r>
          </w:p>
          <w:p w:rsidR="00912E3B" w:rsidRPr="009F735C" w:rsidRDefault="00912E3B" w:rsidP="00912E3B">
            <w:pPr>
              <w:keepNext/>
              <w:keepLines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12E3B" w:rsidRPr="00A94CF1" w:rsidTr="0034096C">
        <w:trPr>
          <w:trHeight w:val="298"/>
        </w:trPr>
        <w:tc>
          <w:tcPr>
            <w:tcW w:w="1980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2.1.2.Повышение санитарно-гигиенической грамотности населения.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>Приближение медицинской помощи к населению  (создание офисов общей практики, участковых педиатров, строительство ФАПов).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</w:tcPr>
          <w:p w:rsidR="00912E3B" w:rsidRPr="009F735C" w:rsidRDefault="00912E3B" w:rsidP="00FB6871">
            <w:pPr>
              <w:keepNext/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без включения в государственную программу</w:t>
            </w:r>
          </w:p>
        </w:tc>
        <w:tc>
          <w:tcPr>
            <w:tcW w:w="2410" w:type="dxa"/>
            <w:vMerge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 w:firstLine="709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2022-2027</w:t>
            </w:r>
          </w:p>
          <w:p w:rsidR="00912E3B" w:rsidRPr="009F735C" w:rsidRDefault="00912E3B" w:rsidP="00912E3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912E3B" w:rsidRPr="009F735C" w:rsidRDefault="00912E3B" w:rsidP="00912E3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I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,II</w:t>
            </w:r>
          </w:p>
        </w:tc>
        <w:tc>
          <w:tcPr>
            <w:tcW w:w="1984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</w:tcPr>
          <w:p w:rsidR="008D1F38" w:rsidRPr="00A94CF1" w:rsidRDefault="00912E3B" w:rsidP="008D1F38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Построены в 2022 году Учхозский и Альдермышский ФАПы. Планируется  в 2023 году- Ибринский и Алатский ФАП</w:t>
            </w:r>
            <w:r w:rsidR="00FB6871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 включены в гос.программу) </w:t>
            </w:r>
            <w:r w:rsidR="00F251E6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8D1F38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Гигиеническое обучение и воспитание, пропаганда здорового</w:t>
            </w:r>
          </w:p>
          <w:p w:rsidR="008D1F38" w:rsidRPr="00A94CF1" w:rsidRDefault="008D1F38" w:rsidP="008D1F38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образа жизни осуществляется на популяционном уровне с</w:t>
            </w:r>
          </w:p>
          <w:p w:rsidR="008D1F38" w:rsidRPr="00A94CF1" w:rsidRDefault="008D1F38" w:rsidP="008D1F38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использованием разли</w:t>
            </w:r>
            <w:r w:rsidR="00686BAD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чных форм и методов.</w:t>
            </w:r>
          </w:p>
          <w:p w:rsidR="008D1F38" w:rsidRPr="00A94CF1" w:rsidRDefault="00686BAD" w:rsidP="008D1F38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Проводятся</w:t>
            </w:r>
            <w:r w:rsidR="008D1F38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индивидуальные,</w:t>
            </w:r>
          </w:p>
          <w:p w:rsidR="008D1F38" w:rsidRPr="00A94CF1" w:rsidRDefault="008D1F38" w:rsidP="00597B61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групповые и массовые </w:t>
            </w:r>
            <w:r w:rsidR="00597B61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формы гигиенического воспитания, т</w:t>
            </w:r>
            <w:r w:rsidR="00686BAD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акже </w:t>
            </w:r>
            <w:r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процессе общения медработника</w:t>
            </w:r>
          </w:p>
          <w:p w:rsidR="008D1F38" w:rsidRPr="00A94CF1" w:rsidRDefault="008D1F38" w:rsidP="008D1F38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пациентом (беседа, инструктаж, консультация).</w:t>
            </w:r>
            <w:r w:rsidR="00597B61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597B61" w:rsidRPr="00A94CF1" w:rsidRDefault="00597B61" w:rsidP="008D1F38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Также в здании центральной больницы и ФАПов размещаются информационные стенды, плакаты, санитарные бюллетени.</w:t>
            </w:r>
          </w:p>
          <w:p w:rsidR="0031587A" w:rsidRPr="00A94CF1" w:rsidRDefault="0031587A" w:rsidP="00686BAD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12E3B" w:rsidRPr="009F735C" w:rsidTr="00307AFF">
        <w:trPr>
          <w:trHeight w:val="280"/>
        </w:trPr>
        <w:tc>
          <w:tcPr>
            <w:tcW w:w="198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tabs>
                <w:tab w:val="left" w:pos="2057"/>
              </w:tabs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2.1.3.Модернизация основных фондов здравоохранения и  медицинского оборудования. Внедрение современных медицинских технологий.</w:t>
            </w:r>
          </w:p>
          <w:p w:rsidR="00912E3B" w:rsidRPr="009F735C" w:rsidRDefault="00912E3B" w:rsidP="00912E3B">
            <w:pPr>
              <w:keepNext/>
              <w:widowControl/>
              <w:tabs>
                <w:tab w:val="left" w:pos="2057"/>
              </w:tabs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без включения в государственную программу</w:t>
            </w:r>
          </w:p>
        </w:tc>
        <w:tc>
          <w:tcPr>
            <w:tcW w:w="2410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 w:firstLine="709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2022-2027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I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,II</w:t>
            </w:r>
          </w:p>
        </w:tc>
        <w:tc>
          <w:tcPr>
            <w:tcW w:w="1984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</w:tcPr>
          <w:p w:rsidR="00C01FDC" w:rsidRPr="009F735C" w:rsidRDefault="00912E3B" w:rsidP="00C01FDC">
            <w:pPr>
              <w:keepNext/>
              <w:widowControl/>
              <w:ind w:left="34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каждом ФАП</w:t>
            </w:r>
            <w:r w:rsidR="00C01FDC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8482F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по программе «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Единый кардиолог» </w:t>
            </w: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установлен  к компьютеру аппарат ЭКГ, Активно работают все ЛПУ района</w:t>
            </w:r>
            <w:r w:rsidR="00806340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806340" w:rsidRDefault="00806340" w:rsidP="00C01FDC">
            <w:pPr>
              <w:keepNext/>
              <w:widowControl/>
              <w:ind w:left="34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В 2022 году получено медицинское оборудование на сумму 84,151 млн. рублей    </w:t>
            </w:r>
          </w:p>
          <w:p w:rsidR="00806340" w:rsidRPr="00C1724A" w:rsidRDefault="009E0969" w:rsidP="00C01FDC">
            <w:pPr>
              <w:keepNext/>
              <w:widowControl/>
              <w:ind w:left="34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 2027 года п</w:t>
            </w:r>
            <w:r w:rsidR="00C17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ланируется ремонт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здания</w:t>
            </w:r>
            <w:r w:rsidR="00C17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стационара</w:t>
            </w:r>
            <w:r w:rsidR="00BE4AC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Высокогорской ЦРБ</w:t>
            </w:r>
            <w:r w:rsidR="00C17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D644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 частичной заменой </w:t>
            </w:r>
            <w:r w:rsidR="00C17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оборудования</w:t>
            </w:r>
          </w:p>
          <w:p w:rsidR="00912E3B" w:rsidRPr="009F735C" w:rsidRDefault="00912E3B" w:rsidP="00C01FDC">
            <w:pPr>
              <w:keepNext/>
              <w:widowControl/>
              <w:ind w:left="34" w:firstLine="709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12E3B" w:rsidRPr="00A94CF1" w:rsidTr="0034096C">
        <w:trPr>
          <w:trHeight w:val="298"/>
        </w:trPr>
        <w:tc>
          <w:tcPr>
            <w:tcW w:w="198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</w:tcPr>
          <w:p w:rsidR="00912E3B" w:rsidRPr="009F735C" w:rsidRDefault="00912E3B" w:rsidP="00912E3B">
            <w:pPr>
              <w:widowControl/>
              <w:ind w:left="34" w:right="-102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2.1.4.Дальнейшая информатизация здравоохранения (электронные записи к специалистам, электронная п</w:t>
            </w:r>
            <w:r w:rsidR="00C7696A"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аспортизация населения, и др.)</w:t>
            </w:r>
          </w:p>
          <w:p w:rsidR="00912E3B" w:rsidRPr="009F735C" w:rsidRDefault="00912E3B" w:rsidP="00912E3B">
            <w:pPr>
              <w:widowControl/>
              <w:ind w:left="34" w:right="-102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без включения в государственную программу</w:t>
            </w:r>
          </w:p>
        </w:tc>
        <w:tc>
          <w:tcPr>
            <w:tcW w:w="2410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2022-2027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/>
              </w:rPr>
              <w:t>I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,II</w:t>
            </w:r>
          </w:p>
        </w:tc>
        <w:tc>
          <w:tcPr>
            <w:tcW w:w="1984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4" w:hanging="2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</w:tcPr>
          <w:p w:rsidR="00912E3B" w:rsidRPr="00A94CF1" w:rsidRDefault="00912E3B" w:rsidP="00E02345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Работа</w:t>
            </w:r>
            <w:r w:rsidR="00C7696A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 информатизации здравоохранения </w:t>
            </w:r>
            <w:r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ведется</w:t>
            </w:r>
            <w:r w:rsidR="00E02345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планомерно. </w:t>
            </w:r>
            <w:r w:rsidR="00C7696A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 всем специалистам </w:t>
            </w:r>
            <w:r w:rsidR="00E02345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ведется </w:t>
            </w:r>
            <w:r w:rsidR="00C7696A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электронная запись.</w:t>
            </w:r>
            <w:r w:rsidR="00780D22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Прием пациентов ведется по электронным талонам.</w:t>
            </w:r>
            <w:r w:rsidR="00C7691F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Дальнейшая </w:t>
            </w:r>
            <w:r w:rsidR="004D1D9A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информатизация здравоохранения, </w:t>
            </w:r>
            <w:r w:rsidR="00C7691F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информирование населения о важности и удобстве электронной записи будет продолжена.</w:t>
            </w:r>
            <w:r w:rsidR="00CD3E8B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912E3B" w:rsidRPr="009F735C" w:rsidTr="0034096C">
        <w:trPr>
          <w:trHeight w:val="415"/>
        </w:trPr>
        <w:tc>
          <w:tcPr>
            <w:tcW w:w="1980" w:type="dxa"/>
            <w:vMerge w:val="restart"/>
            <w:shd w:val="clear" w:color="auto" w:fill="auto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3.Рост самосохранительного поведения и продолжительности здоровой, активной жизни</w:t>
            </w:r>
          </w:p>
        </w:tc>
        <w:tc>
          <w:tcPr>
            <w:tcW w:w="2551" w:type="dxa"/>
            <w:shd w:val="clear" w:color="auto" w:fill="auto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3.1.Организация комплексного подхода к созданию спортивной инфраструктуры с учетом особенностей и традиций населенного пункта, а также существующей социальной и спортивной инфраструктуры (спортивные площадки, вело- пешеходные дорожки, крытые малобюджетные спортивные сооружения для круглогодичного использования, в том числе бассейны и спортивные залы)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Муниципальная программа «Развитие физической культуры и спорта в Высокогорском муниципальном районе на 2021-2023 годы»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МУ «Отдел по делам молодежи и спорту Исполнительного комитета Высокогорского муниципального района»</w:t>
            </w:r>
          </w:p>
        </w:tc>
        <w:tc>
          <w:tcPr>
            <w:tcW w:w="1134" w:type="dxa"/>
            <w:shd w:val="clear" w:color="auto" w:fill="auto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2021 –2023 годы</w:t>
            </w:r>
          </w:p>
        </w:tc>
        <w:tc>
          <w:tcPr>
            <w:tcW w:w="1275" w:type="dxa"/>
            <w:shd w:val="clear" w:color="auto" w:fill="auto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</w:p>
        </w:tc>
        <w:tc>
          <w:tcPr>
            <w:tcW w:w="1984" w:type="dxa"/>
            <w:shd w:val="clear" w:color="auto" w:fill="auto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Увеличение доли населения, систематически занимающихся физической культурой и спортом.</w:t>
            </w:r>
          </w:p>
        </w:tc>
        <w:tc>
          <w:tcPr>
            <w:tcW w:w="2127" w:type="dxa"/>
            <w:shd w:val="clear" w:color="auto" w:fill="auto"/>
          </w:tcPr>
          <w:p w:rsidR="00912E3B" w:rsidRPr="009F735C" w:rsidRDefault="00EE29B2" w:rsidP="007C5B0A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</w:t>
            </w:r>
            <w:r w:rsidR="007C5B0A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оля населения, систематически занимающихся физической культурой и спортом составляет </w:t>
            </w:r>
            <w:r w:rsidR="00912E3B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60,9%</w:t>
            </w:r>
            <w:r w:rsidR="0019557F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61DF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="007C5B0A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увеличение на 10% по сравнению с прошлым годом)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EE29B2" w:rsidRPr="009F735C" w:rsidRDefault="00EE29B2" w:rsidP="007C5B0A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E29B2" w:rsidRPr="009F735C" w:rsidRDefault="00EE29B2" w:rsidP="00EE29B2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районе функционирует 234 спортивных сооружений, приспособленных для занятий физической культурой и спортом:</w:t>
            </w:r>
          </w:p>
          <w:p w:rsidR="00EE29B2" w:rsidRPr="009F735C" w:rsidRDefault="00EE29B2" w:rsidP="00EE29B2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95 плоскостных спортивных сооружений, из них 17 футбольных полей;</w:t>
            </w:r>
          </w:p>
          <w:p w:rsidR="00EE29B2" w:rsidRPr="009F735C" w:rsidRDefault="00EE29B2" w:rsidP="00EE29B2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29 спортивных зала;</w:t>
            </w:r>
          </w:p>
          <w:p w:rsidR="00EE29B2" w:rsidRPr="009F735C" w:rsidRDefault="00EE29B2" w:rsidP="00EE29B2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ледовый дворец;</w:t>
            </w:r>
          </w:p>
          <w:p w:rsidR="00EE29B2" w:rsidRPr="009F735C" w:rsidRDefault="00EE29B2" w:rsidP="00EE29B2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32плавательных бассейна;</w:t>
            </w:r>
          </w:p>
          <w:p w:rsidR="00EE29B2" w:rsidRPr="009F735C" w:rsidRDefault="00EE29B2" w:rsidP="00EE29B2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лыжные базы;</w:t>
            </w:r>
          </w:p>
          <w:p w:rsidR="00EE29B2" w:rsidRPr="009F735C" w:rsidRDefault="00EE29B2" w:rsidP="00EE29B2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 стрелковых тира;</w:t>
            </w:r>
          </w:p>
          <w:p w:rsidR="00EE29B2" w:rsidRPr="009F735C" w:rsidRDefault="00EE29B2" w:rsidP="00EE29B2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53 других спортивных сооружения;</w:t>
            </w:r>
          </w:p>
          <w:p w:rsidR="00EE29B2" w:rsidRPr="009F735C" w:rsidRDefault="00EE29B2" w:rsidP="00EE29B2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крытый футбольный манеж;</w:t>
            </w:r>
          </w:p>
          <w:p w:rsidR="00EE29B2" w:rsidRPr="009F735C" w:rsidRDefault="00EE29B2" w:rsidP="00EE29B2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47 универсально-спортивных площадок и сезонных катков.</w:t>
            </w:r>
          </w:p>
          <w:p w:rsidR="003464F7" w:rsidRPr="009F735C" w:rsidRDefault="003464F7" w:rsidP="00EE29B2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E29B2" w:rsidRPr="009F735C" w:rsidRDefault="00EE29B2" w:rsidP="00EE29B2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Единовременная пропускная способность по району составляет 5 480.</w:t>
            </w:r>
          </w:p>
          <w:p w:rsidR="004636D8" w:rsidRPr="009F735C" w:rsidRDefault="004636D8" w:rsidP="004636D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Детям и взрослым представлена возможность заниматься в 15 видах спорта, таких как хоккей, футбол, корэш, плавание и другие. </w:t>
            </w:r>
          </w:p>
          <w:p w:rsidR="00EE29B2" w:rsidRPr="009F735C" w:rsidRDefault="00EE29B2" w:rsidP="00EE29B2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Число систематически занимающихся физической культурой и спортом в Высокогорском районе составило 30 836 человек</w:t>
            </w:r>
            <w:r w:rsidR="00874D9F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(112% к прошлому году)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19557F" w:rsidRPr="009F735C" w:rsidRDefault="0019557F" w:rsidP="00EE29B2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Активно ведется пропаганда здорового образа жизни населения, отказа от алкоголя и табакокурения.</w:t>
            </w:r>
          </w:p>
        </w:tc>
      </w:tr>
      <w:tr w:rsidR="00912E3B" w:rsidRPr="009F735C" w:rsidTr="0034096C">
        <w:trPr>
          <w:trHeight w:val="415"/>
        </w:trPr>
        <w:tc>
          <w:tcPr>
            <w:tcW w:w="1980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3.2.Разработка муниципальной Программы по формированию здорового образа жизни</w:t>
            </w:r>
          </w:p>
        </w:tc>
        <w:tc>
          <w:tcPr>
            <w:tcW w:w="198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без включения в государственную программу</w:t>
            </w:r>
          </w:p>
        </w:tc>
        <w:tc>
          <w:tcPr>
            <w:tcW w:w="2410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2022-2027 годы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I, II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</w:tcPr>
          <w:p w:rsidR="00912E3B" w:rsidRPr="009F735C" w:rsidRDefault="009A7D3C" w:rsidP="002C5222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целях развития физической культуры и спорта на территории Высокогорского района разработана и утверждена  </w:t>
            </w:r>
            <w:r w:rsidRPr="009F735C">
              <w:rPr>
                <w:sz w:val="22"/>
                <w:szCs w:val="22"/>
              </w:rPr>
              <w:t xml:space="preserve">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муниципальная программа</w:t>
            </w:r>
            <w:r w:rsidR="00AE6D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«Развитие физической культуры и спорта в Высокогорском муниципальном районе на 2021-2023 годы», (Постановление ИК ВМР РТ от 25.02.2021 №151)</w:t>
            </w:r>
            <w:r w:rsidR="00F251E6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2C52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Программа развития физ.культуры и спорта будет продолжена</w:t>
            </w:r>
            <w:r w:rsidR="000E3CC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912E3B" w:rsidRPr="009F735C" w:rsidTr="0034096C">
        <w:trPr>
          <w:trHeight w:val="415"/>
        </w:trPr>
        <w:tc>
          <w:tcPr>
            <w:tcW w:w="1980" w:type="dxa"/>
            <w:vMerge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3.3.Развитие инфраструктуры сферы физической культуры и спорта (строительство спортивных площадок шаговой доступности, строительство  гостиницы на 100 мест с пунктом общественного питания для проживания  спортсменов прибывших на крупные спортивные соревнования, на учебно-тренировочные сбор</w:t>
            </w:r>
            <w:r w:rsidR="00AD25C4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ы)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без включения в государственную программу</w:t>
            </w:r>
          </w:p>
        </w:tc>
        <w:tc>
          <w:tcPr>
            <w:tcW w:w="241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 МУ «Отдел по делам молодежи и спорту Исполнительного комитета Высокогорского муниципального района», 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Отдел строительства, архитектуры и ЖКХ Исполнительного комитета Высокогорского муниципального района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2022-2030 годы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I, II, III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Привлечение в район спортивных мероприятий, привлекательность района.</w:t>
            </w:r>
          </w:p>
        </w:tc>
        <w:tc>
          <w:tcPr>
            <w:tcW w:w="2127" w:type="dxa"/>
            <w:shd w:val="clear" w:color="000000" w:fill="FFFFFF"/>
          </w:tcPr>
          <w:p w:rsidR="005B3F6D" w:rsidRPr="009F735C" w:rsidRDefault="005B3F6D" w:rsidP="005B3F6D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августе 2020г. </w:t>
            </w:r>
            <w:r w:rsidR="00AC502A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состоялось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торжественное открытие крытого плавательного бассейна «Инеш»,</w:t>
            </w:r>
          </w:p>
          <w:p w:rsidR="005B3F6D" w:rsidRPr="009F735C" w:rsidRDefault="005B3F6D" w:rsidP="005B3F6D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Ввод в эксплуатацию универсальной спортивной площадки ВФСК «ГТО» </w:t>
            </w:r>
            <w:r w:rsidR="00AC502A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был осуществлен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октябре 2021г.;</w:t>
            </w:r>
          </w:p>
          <w:p w:rsidR="005B3F6D" w:rsidRPr="009F735C" w:rsidRDefault="005B3F6D" w:rsidP="005B3F6D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универсальная </w:t>
            </w:r>
            <w:r w:rsidR="00AE6D0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спортивная площадка в с. Мульма</w:t>
            </w:r>
            <w:r w:rsidR="00AC502A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сентябре 2021г. </w:t>
            </w:r>
          </w:p>
          <w:p w:rsidR="00912E3B" w:rsidRPr="009F735C" w:rsidRDefault="00AC502A" w:rsidP="001836D3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="005B3F6D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декабре 2022г. после официального открытия начал функционировать крытый футбольный манеж «Эверест</w:t>
            </w:r>
            <w:r w:rsidR="00367BDA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  <w:r w:rsidR="001836D3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1836D3" w:rsidRPr="009F735C">
              <w:rPr>
                <w:sz w:val="22"/>
                <w:szCs w:val="22"/>
              </w:rPr>
              <w:t xml:space="preserve"> </w:t>
            </w:r>
            <w:r w:rsidR="001836D3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Объект имеет административную и игровую зону, футбольная поляна 20х40м.</w:t>
            </w:r>
          </w:p>
          <w:p w:rsidR="00094425" w:rsidRPr="00A94CF1" w:rsidRDefault="00094425" w:rsidP="001836D3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Привлечение максимального количества детей, подростков и молодежи к систематическим занятиям физической культурой и спортом, а также планомерная работа по дальнейшему развитию физкультурно-оздоровительной работы по месту </w:t>
            </w:r>
            <w:r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жительства населения занимает важное место</w:t>
            </w:r>
            <w:r w:rsidR="007D4C8C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будет продолжена.</w:t>
            </w:r>
          </w:p>
          <w:p w:rsidR="0074685B" w:rsidRPr="009F735C" w:rsidRDefault="0074685B" w:rsidP="0074685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6970DF" w:rsidRPr="009F735C" w:rsidTr="0034096C">
        <w:trPr>
          <w:trHeight w:val="415"/>
        </w:trPr>
        <w:tc>
          <w:tcPr>
            <w:tcW w:w="1980" w:type="dxa"/>
            <w:shd w:val="clear" w:color="000000" w:fill="FFFFFF"/>
          </w:tcPr>
          <w:p w:rsidR="006970DF" w:rsidRPr="009F735C" w:rsidRDefault="006970DF" w:rsidP="006970DF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</w:tcPr>
          <w:p w:rsidR="006970DF" w:rsidRPr="009F735C" w:rsidRDefault="006970DF" w:rsidP="006970DF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3.4. Организация и проведение массовых физкультурно-оздоровительных мероприятий (эстафеты, осенний кросс, лыжные гонки и т.д.);</w:t>
            </w:r>
          </w:p>
        </w:tc>
        <w:tc>
          <w:tcPr>
            <w:tcW w:w="1985" w:type="dxa"/>
            <w:shd w:val="clear" w:color="000000" w:fill="FFFFFF"/>
          </w:tcPr>
          <w:p w:rsidR="006970DF" w:rsidRPr="009F735C" w:rsidRDefault="006970DF" w:rsidP="006970DF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Муниципальная программа «Развитие физической культуры и спорта в Высокогорском муниципальном районе на 2021 - 2023 годы»</w:t>
            </w:r>
          </w:p>
          <w:p w:rsidR="006970DF" w:rsidRPr="009F735C" w:rsidRDefault="006970DF" w:rsidP="006970DF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</w:tcPr>
          <w:p w:rsidR="006970DF" w:rsidRPr="009F735C" w:rsidRDefault="006970DF" w:rsidP="006970DF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 «Отдел по делам молодежи и спорту Исполнительного комитета Высокогорского муниципального района»</w:t>
            </w:r>
          </w:p>
        </w:tc>
        <w:tc>
          <w:tcPr>
            <w:tcW w:w="1134" w:type="dxa"/>
            <w:shd w:val="clear" w:color="000000" w:fill="FFFFFF"/>
          </w:tcPr>
          <w:p w:rsidR="006970DF" w:rsidRPr="009F735C" w:rsidRDefault="006970DF" w:rsidP="006970DF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2021-2023 годы</w:t>
            </w:r>
          </w:p>
        </w:tc>
        <w:tc>
          <w:tcPr>
            <w:tcW w:w="1275" w:type="dxa"/>
            <w:shd w:val="clear" w:color="000000" w:fill="FFFFFF"/>
          </w:tcPr>
          <w:p w:rsidR="006970DF" w:rsidRPr="009F735C" w:rsidRDefault="006970DF" w:rsidP="006970DF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</w:p>
        </w:tc>
        <w:tc>
          <w:tcPr>
            <w:tcW w:w="1984" w:type="dxa"/>
            <w:shd w:val="clear" w:color="000000" w:fill="FFFFFF"/>
          </w:tcPr>
          <w:p w:rsidR="006970DF" w:rsidRPr="009F735C" w:rsidRDefault="006970DF" w:rsidP="006970DF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Увеличение доли населения, систематически занимающихся физической культурой и спортом</w:t>
            </w:r>
          </w:p>
        </w:tc>
        <w:tc>
          <w:tcPr>
            <w:tcW w:w="2127" w:type="dxa"/>
            <w:shd w:val="clear" w:color="000000" w:fill="FFFFFF"/>
          </w:tcPr>
          <w:p w:rsidR="006970DF" w:rsidRPr="009F735C" w:rsidRDefault="006970DF" w:rsidP="006970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Приоритетным направлением в работе отдела является привлечение максимального количества детей, подростков и молодежи к систематическим занятиям физической культурой и спортом, а также планомерная работа по дальнейшему развитию физкультурно-оздоровительной работы по месту жительства населения и осуществление принципа доступности физкультурно-оздоровительных услуг для всех слоев населения. </w:t>
            </w:r>
            <w:r w:rsidR="00422EA5" w:rsidRPr="009F735C">
              <w:rPr>
                <w:rFonts w:ascii="Times New Roman" w:hAnsi="Times New Roman" w:cs="Times New Roman"/>
                <w:sz w:val="22"/>
                <w:szCs w:val="22"/>
              </w:rPr>
              <w:t>Активно проводятся такие спортивные</w:t>
            </w: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</w:t>
            </w:r>
            <w:r w:rsidR="00422EA5"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как Кросс наций, Лыжня России, весенняя легкоатлетическая эстафета, сдача норм ГТО, Зимний и летний Фестиваль ГТО, «КЭС-БАСКЕТ», мини-футбол, школьная «Волейбольная лига», школьная «Баскетбольная лига»</w:t>
            </w:r>
            <w:r w:rsidR="00422EA5" w:rsidRPr="009F735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 акция «Я выбираю спорт как альтернативу пагубным привычкам», конкурс «Театр здоровья», спортивное ориентирование и другие.</w:t>
            </w:r>
          </w:p>
          <w:p w:rsidR="006970DF" w:rsidRPr="009F735C" w:rsidRDefault="006970DF" w:rsidP="006970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Ежегодно проводятся районные турниры «Золотая шайба» и «Кожаный мяч». В тесном контакте с отделом  по делам молодежи и спорту, культуры, образования, райвоенкоматом, районным Советом ветеранов  ежегодно проводятся соревнования по военно-прикладным видам спорта среди допризывной и призывной молодежи,  соревнования среди военно-патриотических клубов, районный конкурс военно-патриотической песни  и художественного слова,  демонстрация фильмов патриотического содержания,  встречи молодежи с ветеранами войн, тружениками тыла, воинами-интернационалистами. </w:t>
            </w:r>
          </w:p>
          <w:p w:rsidR="006970DF" w:rsidRPr="009F735C" w:rsidRDefault="006970DF" w:rsidP="006970D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Ежегодно сборная команда муниципальных служащих Высокогорского района участвует в Спартакиаде муниципальных служащих Республики Татарстан.</w:t>
            </w:r>
          </w:p>
          <w:p w:rsidR="007B7A1A" w:rsidRPr="003614F6" w:rsidRDefault="007B7A1A" w:rsidP="003614F6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970DF" w:rsidRPr="009F735C" w:rsidTr="0034096C">
        <w:trPr>
          <w:trHeight w:val="415"/>
        </w:trPr>
        <w:tc>
          <w:tcPr>
            <w:tcW w:w="1980" w:type="dxa"/>
            <w:shd w:val="clear" w:color="000000" w:fill="FFFFFF"/>
          </w:tcPr>
          <w:p w:rsidR="006970DF" w:rsidRPr="009F735C" w:rsidRDefault="006970DF" w:rsidP="006970DF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</w:tcPr>
          <w:p w:rsidR="006970DF" w:rsidRPr="009F735C" w:rsidRDefault="006970DF" w:rsidP="006970DF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3.5.  Увеличение числа, систематически занимающихся физической культурой и спортом лиц, в том числе с ограниченными  возможностями здоровья и инвалидов;</w:t>
            </w:r>
          </w:p>
        </w:tc>
        <w:tc>
          <w:tcPr>
            <w:tcW w:w="1985" w:type="dxa"/>
            <w:shd w:val="clear" w:color="000000" w:fill="FFFFFF"/>
          </w:tcPr>
          <w:p w:rsidR="006970DF" w:rsidRPr="009F735C" w:rsidRDefault="006970DF" w:rsidP="006970DF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Муниципальная программа «Развитие физической культуры и спорта в Высокогорском муниципальном районе на 2021 - 2023 годы»</w:t>
            </w:r>
          </w:p>
          <w:p w:rsidR="006970DF" w:rsidRPr="009F735C" w:rsidRDefault="006970DF" w:rsidP="006970DF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</w:tcPr>
          <w:p w:rsidR="006970DF" w:rsidRPr="009F735C" w:rsidRDefault="006970DF" w:rsidP="006970DF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 «Отдел по делам молодежи и спорту Исполнительного комитета Высокогорского муниципального района»</w:t>
            </w:r>
          </w:p>
        </w:tc>
        <w:tc>
          <w:tcPr>
            <w:tcW w:w="1134" w:type="dxa"/>
            <w:shd w:val="clear" w:color="000000" w:fill="FFFFFF"/>
          </w:tcPr>
          <w:p w:rsidR="006970DF" w:rsidRPr="009F735C" w:rsidRDefault="006970DF" w:rsidP="006970DF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2021-2023 годы</w:t>
            </w:r>
          </w:p>
        </w:tc>
        <w:tc>
          <w:tcPr>
            <w:tcW w:w="1275" w:type="dxa"/>
            <w:shd w:val="clear" w:color="000000" w:fill="FFFFFF"/>
          </w:tcPr>
          <w:p w:rsidR="006970DF" w:rsidRPr="009F735C" w:rsidRDefault="006970DF" w:rsidP="006970DF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</w:p>
        </w:tc>
        <w:tc>
          <w:tcPr>
            <w:tcW w:w="1984" w:type="dxa"/>
            <w:shd w:val="clear" w:color="000000" w:fill="FFFFFF"/>
          </w:tcPr>
          <w:p w:rsidR="006970DF" w:rsidRPr="009F735C" w:rsidRDefault="006970DF" w:rsidP="006970DF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Увеличение доли населения, систематически занимающихся физической культурой и спортом</w:t>
            </w:r>
          </w:p>
        </w:tc>
        <w:tc>
          <w:tcPr>
            <w:tcW w:w="2127" w:type="dxa"/>
            <w:shd w:val="clear" w:color="000000" w:fill="FFFFFF"/>
          </w:tcPr>
          <w:p w:rsidR="000E6D59" w:rsidRPr="009F735C" w:rsidRDefault="00A71B60" w:rsidP="000E6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Активно идет </w:t>
            </w:r>
            <w:r w:rsidR="000E6D59"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привлечение </w:t>
            </w: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населения</w:t>
            </w:r>
            <w:r w:rsidR="000E6D59"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 к систематическим занятиям физической культурой и спортом, а также планомерная работа по дальнейшему развитию физкультурно-оздоровительной работы по месту жительства населения и осуществление принципа доступности физкультурно-оздоровительных услуг для всех слоев населения.</w:t>
            </w:r>
          </w:p>
          <w:p w:rsidR="000E6D59" w:rsidRPr="009F735C" w:rsidRDefault="00F701CC" w:rsidP="000E6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Особое внимание уделяется</w:t>
            </w:r>
            <w:r w:rsidR="000E6D59"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 подготовке и сохранению кадров в сфере физической культуры и спорта. Все штатные работники имеют специальное образование. Специалисты спортивных школ по графику проходят курсы повышения квалификации и аттестуются по своим должностям на  квалификационные категории. </w:t>
            </w:r>
          </w:p>
          <w:p w:rsidR="000E6D59" w:rsidRPr="009F735C" w:rsidRDefault="000E6D59" w:rsidP="000E6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При проведении массовых спортивных и физкультурно-оздоровительных мероприятий помощь оказывают сотрудники МБУ «Форпост» и МБУ ДО «Центр внешкольной работы «Тулпар».</w:t>
            </w:r>
          </w:p>
          <w:p w:rsidR="000E6D59" w:rsidRPr="009F735C" w:rsidRDefault="000E6D59" w:rsidP="00C107C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07C8" w:rsidRPr="009F735C" w:rsidRDefault="00C107C8" w:rsidP="00C107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 Одной из задач муниципальной подпрограммы «Развитие физической культуры и массового спорта на 2021 - 2023 годы» является «Обеспечение доступной спортивной инфраструктуры для массового спорта, в том числе для инвалидов и лиц с ограниченными возможностями здоровья». В рамках подпрограммы предусмотрены следующие мероприятия для людей с ограниченными возможностями здоровья и инвалидов: </w:t>
            </w:r>
          </w:p>
          <w:p w:rsidR="00C107C8" w:rsidRPr="009F735C" w:rsidRDefault="00C107C8" w:rsidP="00C107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проведение районных физкультурно-оздоровительных, комплексных мероприятий, фестивалей, спортивных праздников, декад спорта на территории Высокогорского района среди людей с ограниченными возможностями здоровья и инвалидов;</w:t>
            </w:r>
          </w:p>
          <w:p w:rsidR="00C107C8" w:rsidRPr="009F735C" w:rsidRDefault="00C107C8" w:rsidP="00C107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оснащение мест проведения занятий физической культурой и спортом с людьми с ограниченными возможностями здоровья необходимым спортивным инвентарем и специальным оборудованием</w:t>
            </w:r>
          </w:p>
          <w:p w:rsidR="00C107C8" w:rsidRPr="009F735C" w:rsidRDefault="00C107C8" w:rsidP="00C107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Работа с людьми, имеющими ограниченные физические возможности проводится по месту жительства в МБУ «Спортивный комплекс». Всего занимается 72 человека. </w:t>
            </w:r>
          </w:p>
          <w:p w:rsidR="00C107C8" w:rsidRPr="009F735C" w:rsidRDefault="00C107C8" w:rsidP="00C107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Работа с инвалидами ведется в группах «Здоровье» по общей физической подготовке, а также проводятся занятия по настольному теннису, шахматам, шашкам. Команда, состоящая из спортсменов, имеющих ограниченные физические возможности, активно участвуют в районных соревнованиях и выезжает на соревнования по Республике Татарстан. </w:t>
            </w:r>
          </w:p>
          <w:p w:rsidR="00C107C8" w:rsidRPr="009F735C" w:rsidRDefault="00C107C8" w:rsidP="00C107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Основами занятий являются укрепление здоровья, содействия правильному физическому развитию, воспитание интереса и привычки к самостоятельным занятиям физической культурой. Занимающиеся поделены на группы, отличающие по возрасту и характеру заболеваний. Проводятся теоретические занятия по темам: гигиенические основы физических упражнений. </w:t>
            </w:r>
          </w:p>
          <w:p w:rsidR="00C107C8" w:rsidRPr="009F735C" w:rsidRDefault="00C107C8" w:rsidP="00C107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Сборная ком</w:t>
            </w:r>
            <w:r w:rsidR="00D40D89">
              <w:rPr>
                <w:rFonts w:ascii="Times New Roman" w:hAnsi="Times New Roman" w:cs="Times New Roman"/>
                <w:sz w:val="22"/>
                <w:szCs w:val="22"/>
              </w:rPr>
              <w:t xml:space="preserve">анда района принимает участие в </w:t>
            </w: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соревнованиях проводимых ФСО инвалидов РТ. </w:t>
            </w:r>
          </w:p>
          <w:p w:rsidR="006970DF" w:rsidRDefault="00C107C8" w:rsidP="00C107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Также для лиц с ограниченными возможностями здоровья и инвалидов организованы бесплатные посещения крытого плавательного бассейна «Инеш»         2 раза в месяц.</w:t>
            </w:r>
          </w:p>
          <w:p w:rsidR="00801CB4" w:rsidRDefault="00801CB4" w:rsidP="00C107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Доля населения ,систематически занимающего спортом растет с каждым годом, в 2022 году составила 62% ( в 2021 году – 56,4%)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В 2023 году планируем увеличить данный показатель.</w:t>
            </w:r>
          </w:p>
          <w:p w:rsidR="00311F73" w:rsidRPr="009F735C" w:rsidRDefault="00311F73" w:rsidP="00311F7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66C1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Мероприятия в 2023 году согласно плану будут проводится регулярно.</w:t>
            </w:r>
          </w:p>
        </w:tc>
      </w:tr>
      <w:tr w:rsidR="00912E3B" w:rsidRPr="009F735C" w:rsidTr="0034096C">
        <w:trPr>
          <w:trHeight w:val="415"/>
        </w:trPr>
        <w:tc>
          <w:tcPr>
            <w:tcW w:w="198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3.6.  Привлечение всех категорий населения,  учащихся, студентов к выполнению норм всероссийского физкультурно-спортивного комплекса (ГТО);</w:t>
            </w:r>
          </w:p>
        </w:tc>
        <w:tc>
          <w:tcPr>
            <w:tcW w:w="198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Муниципальная программа «Развитие физической культуры и спорта в Высокогорском муниципальном районе на 2021 - 2023 годы»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 «Отдел по делам молодежи и спорту Исполнительного комитета Высокогорского муниципального района»</w:t>
            </w:r>
          </w:p>
        </w:tc>
        <w:tc>
          <w:tcPr>
            <w:tcW w:w="113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2021-2023 годы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Увеличение доли населения, выполнивших нормативы испытаний ВФСК «ГТО»</w:t>
            </w:r>
          </w:p>
        </w:tc>
        <w:tc>
          <w:tcPr>
            <w:tcW w:w="2127" w:type="dxa"/>
            <w:shd w:val="clear" w:color="000000" w:fill="FFFFFF"/>
          </w:tcPr>
          <w:p w:rsidR="001624C8" w:rsidRPr="009F735C" w:rsidRDefault="00927C69" w:rsidP="00927C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BF2B80" w:rsidRPr="009F735C">
              <w:rPr>
                <w:rFonts w:ascii="Times New Roman" w:hAnsi="Times New Roman" w:cs="Times New Roman"/>
                <w:sz w:val="22"/>
                <w:szCs w:val="22"/>
              </w:rPr>
              <w:t>се</w:t>
            </w: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 категории населения, учащихся, студентов </w:t>
            </w:r>
            <w:r w:rsidR="001624C8"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активно привлекаются </w:t>
            </w: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к </w:t>
            </w:r>
            <w:r w:rsidR="001624C8" w:rsidRPr="009F735C">
              <w:rPr>
                <w:rFonts w:ascii="Times New Roman" w:hAnsi="Times New Roman" w:cs="Times New Roman"/>
                <w:sz w:val="22"/>
                <w:szCs w:val="22"/>
              </w:rPr>
              <w:t>сдаче и выполнению</w:t>
            </w: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 норм всероссийского физкультурно-спортивного комплекса (ГТО)</w:t>
            </w:r>
            <w:r w:rsidR="001624C8" w:rsidRPr="009F73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27C69" w:rsidRPr="009F735C" w:rsidRDefault="00927C69" w:rsidP="00927C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Для удобства организациям и предприятиям нормативы ГТО принимаются во время проведения массовых мероприятий, таких как «Кросс Нации», «Лыжня России» и др., а также проводятся Зимние и Летние Фестивали ГТО.</w:t>
            </w:r>
          </w:p>
          <w:p w:rsidR="00927C69" w:rsidRPr="009F735C" w:rsidRDefault="00927C69" w:rsidP="00927C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Не остаются в стороне и муниципальные служащие, работники исполнительного комитета и бюджетных учреждений. Проводятся как массовые мероприятия, так и спортивные праздники для данных трудовых коллективов.</w:t>
            </w:r>
          </w:p>
          <w:p w:rsidR="00912E3B" w:rsidRDefault="001624C8" w:rsidP="001624C8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Всего з</w:t>
            </w:r>
            <w:r w:rsidR="00912E3B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арегистрированы 28,02%, выполнившие на знаки от числа приступивших к испытаниям 65,65%, выполнивших на знаки от численности населения 4,97%</w:t>
            </w:r>
          </w:p>
          <w:p w:rsidR="00623977" w:rsidRPr="00623977" w:rsidRDefault="00623977" w:rsidP="00623977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F54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Данная работа по привлечению всех категорий населения </w:t>
            </w:r>
            <w:r w:rsidRPr="004F5467">
              <w:rPr>
                <w:color w:val="auto"/>
              </w:rPr>
              <w:t xml:space="preserve"> </w:t>
            </w:r>
            <w:r w:rsidRPr="004F54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учащихся, студентов к выполнению норм ГТО будет продолжена.</w:t>
            </w:r>
          </w:p>
        </w:tc>
      </w:tr>
      <w:tr w:rsidR="00912E3B" w:rsidRPr="009F735C" w:rsidTr="0034096C">
        <w:trPr>
          <w:trHeight w:val="415"/>
        </w:trPr>
        <w:tc>
          <w:tcPr>
            <w:tcW w:w="198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3.1. 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Создание отделения по видам спорта по работе с инвалидами при ДЮСШ в спортивных сооружениях</w:t>
            </w:r>
          </w:p>
        </w:tc>
        <w:tc>
          <w:tcPr>
            <w:tcW w:w="2551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3.1.1. Активная работа и развитие детей с ограниченными возможностями, повышение их активности, внимание, привлечение внимания к оказанию благотворительной помощи организаций и физических лиц.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без включения в государственную программу</w:t>
            </w:r>
          </w:p>
        </w:tc>
        <w:tc>
          <w:tcPr>
            <w:tcW w:w="241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 «Отдел по делам молодежи и спорту Исполнительного комитета Высокогорского муниципального района»</w:t>
            </w:r>
          </w:p>
        </w:tc>
        <w:tc>
          <w:tcPr>
            <w:tcW w:w="113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2022-2030 годы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II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Поддержание здорового  духа детей-инвалидов</w:t>
            </w:r>
          </w:p>
        </w:tc>
        <w:tc>
          <w:tcPr>
            <w:tcW w:w="2127" w:type="dxa"/>
            <w:shd w:val="clear" w:color="000000" w:fill="FFFFFF"/>
          </w:tcPr>
          <w:p w:rsidR="00D8263C" w:rsidRPr="009F735C" w:rsidRDefault="00D8263C" w:rsidP="00D8263C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Особое внимание в районе уделяется популяризации занятий физической культурой и спортом среди людей с ограниченными возможностями. Одной из задач муниципальной подпрограммы «Развитие физической культуры и массового спорта на 2021 - 2023 годы» является «Обеспечение доступной спортивной инфраструктуры для массового спорта, в том числе для инвалидов и лиц с ограниченными возможностями здоровья». В рамках подпрограммы предусмотрены следующие мероприятия для людей с ограниченными возможностями здоровья и инвалидов: </w:t>
            </w:r>
          </w:p>
          <w:p w:rsidR="00D8263C" w:rsidRPr="009F735C" w:rsidRDefault="00D8263C" w:rsidP="00D8263C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районных физкультурно-оздоровительных, комплексных мероприятий, фестивалей, спортивных праздников, декад спорта на территории Высокогорского района среди людей с ограниченными возможностями здоровья и инвалидов;</w:t>
            </w:r>
          </w:p>
          <w:p w:rsidR="00D8263C" w:rsidRPr="009F735C" w:rsidRDefault="00D8263C" w:rsidP="00D8263C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оснащение мест проведения занятий физической культурой и спортом с людьми с ограниченными возможностями здоровья необходимым спортивным инвентарем и специальным оборудованием</w:t>
            </w:r>
          </w:p>
          <w:p w:rsidR="00D8263C" w:rsidRPr="009F735C" w:rsidRDefault="00D8263C" w:rsidP="00D8263C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Работа с людьми, имеющими ограниченные физические возможности проводится по месту жительства в МБУ «Спортивный комплекс». Всего занимается 72 человека. </w:t>
            </w:r>
          </w:p>
          <w:p w:rsidR="00D8263C" w:rsidRPr="009F735C" w:rsidRDefault="00D8263C" w:rsidP="00D8263C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Работа с инвалидами ведется в группах «Здоровье» по общей физической подготовке, а также проводятся занятия по настольному теннису, шахматам, шашкам. Команда, состоящая из спортсменов, имеющих ограниченные физические возможности, активно участвуют в районных соревнованиях и выезжает на соревнования по Республике Татарстан. </w:t>
            </w:r>
          </w:p>
          <w:p w:rsidR="00D8263C" w:rsidRPr="009F735C" w:rsidRDefault="00D8263C" w:rsidP="00D8263C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Основами занятий являются укрепление здоровья, содействия правильному физическому развитию, воспитание интереса и привычки к самостоятельным занятиям физической культурой. Занимающиеся поделены на группы, отличающие по возрасту и характеру заболеваний. Проводятся теоретические занятия по темам: гигиенические основы физических упражнений. </w:t>
            </w:r>
          </w:p>
          <w:p w:rsidR="00D8263C" w:rsidRPr="009F735C" w:rsidRDefault="00D8263C" w:rsidP="00D8263C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Сборная команда района принимает участие в соревнованиях проводимых ФСО инвалидов РТ. </w:t>
            </w:r>
          </w:p>
          <w:p w:rsidR="00912E3B" w:rsidRDefault="00D8263C" w:rsidP="00D8263C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Также для лиц с ограниченными возможностями здоровья и инвалидов организованы бесплатные посещения крытого плавательного бассейна «Инеш»</w:t>
            </w:r>
            <w:r w:rsidR="0024161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 раза в месяц.</w:t>
            </w:r>
          </w:p>
          <w:p w:rsidR="005270F9" w:rsidRPr="009F735C" w:rsidRDefault="005270F9" w:rsidP="005270F9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Активная работа и развитие детей с ограниченными возможностями, повышение их активности, внимание, привлечение внимания к оказанию благотворительной помо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щи организаций и физических лиц будет продолжена.</w:t>
            </w:r>
            <w:r w:rsidR="007038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5270F9" w:rsidRPr="009F735C" w:rsidRDefault="005270F9" w:rsidP="00D8263C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12E3B" w:rsidRPr="009F735C" w:rsidTr="0034096C">
        <w:trPr>
          <w:trHeight w:val="415"/>
        </w:trPr>
        <w:tc>
          <w:tcPr>
            <w:tcW w:w="198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3.2. Улучшение жилищных условий молодых семей</w:t>
            </w:r>
          </w:p>
        </w:tc>
        <w:tc>
          <w:tcPr>
            <w:tcW w:w="2551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3.2.1. Обеспечение жильем молодых семей в Высокогорском муниципальном районе Республики Татарстан</w:t>
            </w:r>
          </w:p>
        </w:tc>
        <w:tc>
          <w:tcPr>
            <w:tcW w:w="198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Программа «Обеспечение жильем молодых семей Республики Татарстан»</w:t>
            </w:r>
          </w:p>
        </w:tc>
        <w:tc>
          <w:tcPr>
            <w:tcW w:w="241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МУ «Отдел по делам молодежи и спорту Исполнительного комитета Высокогорского муниципального района»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2021 – 2025 годы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Укрепить семейные отношения и снизить социальную напряженность в обществе.</w:t>
            </w:r>
          </w:p>
        </w:tc>
        <w:tc>
          <w:tcPr>
            <w:tcW w:w="2127" w:type="dxa"/>
            <w:shd w:val="clear" w:color="000000" w:fill="FFFFFF"/>
          </w:tcPr>
          <w:p w:rsidR="00912E3B" w:rsidRDefault="008F4773" w:rsidP="00AE7A7D">
            <w:pPr>
              <w:keepNext/>
              <w:widowControl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 2022 году социальную выплату в сумме 1 374 660 руб.</w:t>
            </w:r>
            <w:r w:rsidR="00DD09F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на приобретение (строительство) жилья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получила семья Логинова Сергея Владимировича (4 человека в семье)</w:t>
            </w:r>
            <w:r w:rsidR="00A81BDF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. Приобрели жилой дом площадью 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D608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99 кв.м. </w:t>
            </w:r>
          </w:p>
          <w:p w:rsidR="002D6083" w:rsidRPr="009F735C" w:rsidRDefault="002D6083" w:rsidP="002D6083">
            <w:pPr>
              <w:keepNext/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плану одна</w:t>
            </w:r>
            <w:r w:rsidRPr="002D60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семья в год по Программе «Обеспечение жильем молодых семей Республики Татарстан»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будет </w:t>
            </w:r>
            <w:r w:rsidRPr="002D60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улучша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ть</w:t>
            </w:r>
            <w:r w:rsidRPr="002D608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жилищные условия.</w:t>
            </w:r>
          </w:p>
        </w:tc>
      </w:tr>
      <w:tr w:rsidR="00912E3B" w:rsidRPr="009F735C" w:rsidTr="0034096C">
        <w:trPr>
          <w:trHeight w:val="64"/>
        </w:trPr>
        <w:tc>
          <w:tcPr>
            <w:tcW w:w="1980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 Реализация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централизованной программы развития инфраструктуры</w:t>
            </w:r>
          </w:p>
        </w:tc>
        <w:tc>
          <w:tcPr>
            <w:tcW w:w="2551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4.1. Реализация программы строительства, реконструкции, капитального ремонта детских садов.</w:t>
            </w:r>
          </w:p>
        </w:tc>
        <w:tc>
          <w:tcPr>
            <w:tcW w:w="198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государственная программа «Развитие образования и науки Республики Татарстан на 2014 – 2025 годы»</w:t>
            </w:r>
          </w:p>
        </w:tc>
        <w:tc>
          <w:tcPr>
            <w:tcW w:w="2410" w:type="dxa"/>
            <w:shd w:val="clear" w:color="000000" w:fill="FFFFFF"/>
            <w:hideMark/>
          </w:tcPr>
          <w:p w:rsidR="00912E3B" w:rsidRPr="009F735C" w:rsidRDefault="00912E3B" w:rsidP="00912E3B">
            <w:pPr>
              <w:widowControl/>
              <w:ind w:left="34" w:firstLine="52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МКУ "Отдел образования Высокогорского муниципального района"</w:t>
            </w:r>
          </w:p>
        </w:tc>
        <w:tc>
          <w:tcPr>
            <w:tcW w:w="1134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2025 годы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I, II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Рост числа созданных мест в дошкольных образовательных организациях, снижение количества детских садов, нуждающихся в капитальном ремонте 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Введены в эксплуатацию 2 новых детских сада: в д. Эстачи на 220 мест, в д. Чернышевка на 140 мест.</w:t>
            </w:r>
          </w:p>
          <w:p w:rsidR="00912E3B" w:rsidRPr="009F735C" w:rsidRDefault="00912E3B" w:rsidP="00912E3B">
            <w:pPr>
              <w:keepNext/>
              <w:widowControl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2х дошкольных учреждениях проведен капитальный ремонт здания.</w:t>
            </w:r>
          </w:p>
          <w:p w:rsidR="0005460E" w:rsidRPr="009F735C" w:rsidRDefault="0005460E" w:rsidP="0005460E">
            <w:pPr>
              <w:keepNext/>
              <w:widowControl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 учетом интенсивности строительства новых многоквартирных домов и индивидуального жилья в селе с каждым годом увеличивается детский контингент. Очередность в АИС «Электронный детский сад» составляет 1830 детей (от 0 до 1,5 лет - 1044, от 1,5 до 3 лет - 669, от 3 до 7 лет - 117).  </w:t>
            </w:r>
          </w:p>
          <w:p w:rsidR="0005460E" w:rsidRPr="009F735C" w:rsidRDefault="0005460E" w:rsidP="0005460E">
            <w:pPr>
              <w:keepNext/>
              <w:widowControl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связи с </w:t>
            </w:r>
            <w:r w:rsidR="00FB42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острой 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необходимость</w:t>
            </w:r>
            <w:r w:rsidR="00FB42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ю,</w:t>
            </w:r>
            <w:r w:rsidR="00F51C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до 2025 года</w:t>
            </w:r>
            <w:r w:rsidR="00FB42D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планируется строительство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новых дошкольных учреждений в селе Высокая Гора на 340 мест и в селе Шигали на 220 мест. </w:t>
            </w:r>
          </w:p>
          <w:p w:rsidR="00E92211" w:rsidRPr="009F735C" w:rsidRDefault="00E92211" w:rsidP="0005460E">
            <w:pPr>
              <w:keepNext/>
              <w:widowControl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12E3B" w:rsidRPr="009F735C" w:rsidTr="0034096C">
        <w:trPr>
          <w:trHeight w:val="699"/>
        </w:trPr>
        <w:tc>
          <w:tcPr>
            <w:tcW w:w="1980" w:type="dxa"/>
            <w:shd w:val="clear" w:color="auto" w:fill="auto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4.1. Укрепление</w:t>
            </w:r>
          </w:p>
          <w:p w:rsidR="00912E3B" w:rsidRPr="009F735C" w:rsidRDefault="00912E3B" w:rsidP="00912E3B">
            <w:pPr>
              <w:keepNext/>
              <w:widowControl/>
              <w:tabs>
                <w:tab w:val="left" w:pos="1731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связи образовательных организаций дошкольного образования со школами, в том числе в форме комплексов: включение детских садов в состав школьных комплексов, создание инфраструктуры дошкольного образования многоцелевого назначения</w:t>
            </w:r>
          </w:p>
          <w:p w:rsidR="00912E3B" w:rsidRPr="009F735C" w:rsidRDefault="00912E3B" w:rsidP="00912E3B">
            <w:pPr>
              <w:keepNext/>
              <w:widowControl/>
              <w:tabs>
                <w:tab w:val="left" w:pos="1731"/>
              </w:tabs>
              <w:ind w:firstLine="3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4.1.1. Апробация и тираживание пилотного проекта «Школа – образовательный комплекс», предполагающего создание образовательного комплекса, включающего детский сад и школу, обеспечение преемственности в работе дошкольных образовательных учреждений и школ, создание сквозных образовательных программ</w:t>
            </w:r>
            <w:r w:rsidR="00C167FD" w:rsidRPr="009F73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912E3B" w:rsidRPr="009F735C" w:rsidRDefault="00C167FD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</w:t>
            </w:r>
            <w:r w:rsidR="00912E3B" w:rsidRPr="009F73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осударственная программа «Развитие образования и науки Республики Татарстан на 2014 – 2025 годы»</w:t>
            </w:r>
          </w:p>
        </w:tc>
        <w:tc>
          <w:tcPr>
            <w:tcW w:w="2410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МКУ "Отдел образования Высокогорского муниципального района"</w:t>
            </w:r>
          </w:p>
        </w:tc>
        <w:tc>
          <w:tcPr>
            <w:tcW w:w="1134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2022 – 2025 годы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, II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Разработка модели преемственности дошкольного и начального общего образования</w:t>
            </w:r>
          </w:p>
        </w:tc>
        <w:tc>
          <w:tcPr>
            <w:tcW w:w="2127" w:type="dxa"/>
            <w:shd w:val="clear" w:color="000000" w:fill="FFFFFF"/>
          </w:tcPr>
          <w:p w:rsidR="00912E3B" w:rsidRPr="00A94CF1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с. Алаты построена школа на 80 мест с дошкольной группой  на 20 мест.</w:t>
            </w:r>
          </w:p>
          <w:p w:rsidR="00C167FD" w:rsidRPr="00A94CF1" w:rsidRDefault="00912E3B" w:rsidP="00DE0FC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Пять малокомплектных детских садов присоединены к общеобразовательным организациям.</w:t>
            </w:r>
            <w:r w:rsidR="00DE0FC4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167FD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учетом интенсивности строительства новых многоквартирных домов и индивидуального жилья в селе возникает вопрос с обеспечением местами в школах. Около 2000 учащихся обучаются во вторую смену (это дети из Высокогорской СОШ №1, №2, №3, №4, Озерной и Усадской СОШ. В связи с этим планируется строительство учреждений образования</w:t>
            </w:r>
            <w:r w:rsidR="00A149C3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32E28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C2656F" w:rsidRPr="00A94CF1" w:rsidRDefault="00C2656F" w:rsidP="00195F93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2023 году </w:t>
            </w:r>
            <w:r w:rsidR="00367656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запланирован капитальный ремонт здания по адресу: пос.ж.д.ст. Высокая Гора, ул. Советская, д. 17 с последующим приобретением оборудования, мебели, инвентаря и благоустройтсво территории для последующего р</w:t>
            </w:r>
            <w:r w:rsidR="00195F93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азмещения в нем начальной школы</w:t>
            </w:r>
            <w:r w:rsidR="00367656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="00195F93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</w:t>
            </w:r>
            <w:r w:rsidR="00367656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строительство Куркачинской ООШ + садик</w:t>
            </w:r>
            <w:r w:rsidR="008F7D12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195F93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912E3B" w:rsidRPr="009F735C" w:rsidTr="0034096C">
        <w:trPr>
          <w:trHeight w:val="150"/>
        </w:trPr>
        <w:tc>
          <w:tcPr>
            <w:tcW w:w="1980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4.2. Создание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клубов раннего развития на базе дошкольных образовательных организаций, гибкие формы поддержки семей и дошкольного образования, особая поддержка детям в трудной ситуации, включая детей с ограниченными возможностями здоровья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4.2.1. Создание групп кратковременного пребывания разной направленности: адаптационные, раннего развития; центры игровой поддержки; консультационные пункты; группы выходного, праздничного и продленного дня, семейных детских садов</w:t>
            </w:r>
          </w:p>
        </w:tc>
        <w:tc>
          <w:tcPr>
            <w:tcW w:w="198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государственная программа «Развитие образования и науки Республики Татарстан на 2014 – 2025 годы»</w:t>
            </w:r>
          </w:p>
        </w:tc>
        <w:tc>
          <w:tcPr>
            <w:tcW w:w="2410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МКУ "Отдел образования Высокогорского муниципального района"</w:t>
            </w:r>
          </w:p>
        </w:tc>
        <w:tc>
          <w:tcPr>
            <w:tcW w:w="1134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2022 – 2025годы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I, II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Увеличение доли детей, охваченных вариативными формами дошкольного образования</w:t>
            </w:r>
            <w:r w:rsidR="005F1C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shd w:val="clear" w:color="000000" w:fill="FFFFFF"/>
          </w:tcPr>
          <w:p w:rsidR="00912E3B" w:rsidRPr="00A94CF1" w:rsidRDefault="00912E3B" w:rsidP="00912E3B">
            <w:pPr>
              <w:widowControl/>
              <w:tabs>
                <w:tab w:val="left" w:pos="1935"/>
              </w:tabs>
              <w:ind w:left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базе МБДОУ «Высокогорский детский сад «Бэлэкэч» функционирует один семейный детский сад;</w:t>
            </w:r>
          </w:p>
          <w:p w:rsidR="00912E3B" w:rsidRPr="00A94CF1" w:rsidRDefault="00912E3B" w:rsidP="00912E3B">
            <w:pPr>
              <w:widowControl/>
              <w:tabs>
                <w:tab w:val="left" w:pos="1935"/>
              </w:tabs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 базе трех детских садов </w:t>
            </w:r>
            <w:r w:rsidRPr="00A94CF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функционируют консультационные центры для родителей</w:t>
            </w:r>
            <w:r w:rsidR="00B30E55" w:rsidRPr="00A94CF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A94CF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с целью осуществления методической, психолого-педагогической, диагностической и консультативной</w:t>
            </w:r>
            <w:r w:rsidRPr="00A94CF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A94CF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помощи родителям (законным представителям) с детьми дошкольного возраста, обеспечивающим получение детьми дошкольного образования в форме семейного образования.</w:t>
            </w:r>
            <w:r w:rsidR="00B4795E" w:rsidRPr="00A94CF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B4795E" w:rsidRPr="00A94CF1" w:rsidRDefault="00B4795E" w:rsidP="00912E3B">
            <w:pPr>
              <w:widowControl/>
              <w:tabs>
                <w:tab w:val="left" w:pos="1935"/>
              </w:tabs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B4795E" w:rsidRPr="00A94CF1" w:rsidRDefault="00B4795E" w:rsidP="00297A76">
            <w:pPr>
              <w:widowControl/>
              <w:tabs>
                <w:tab w:val="left" w:pos="1935"/>
              </w:tabs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94CF1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 районе функционирует 34 дошкольных образовательных учреждений и 6 дошкольных групп при школах с охватом 3580 детей и 3 учреждения дополнительного образования с охватом свыше двух тысяч детей.</w:t>
            </w:r>
          </w:p>
          <w:p w:rsidR="00B24213" w:rsidRPr="00A94CF1" w:rsidRDefault="00B24213" w:rsidP="00297A76">
            <w:pPr>
              <w:widowControl/>
              <w:tabs>
                <w:tab w:val="left" w:pos="1935"/>
              </w:tabs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:rsidR="00B24213" w:rsidRPr="00A94CF1" w:rsidRDefault="00B24213" w:rsidP="001566FA">
            <w:pPr>
              <w:widowControl/>
              <w:tabs>
                <w:tab w:val="left" w:pos="1935"/>
              </w:tabs>
              <w:ind w:left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Создание групп кратковременного пребывания разной направленности: адаптационные, раннего развития; центры игровой поддержки; консультационные пункты; группы выходного,</w:t>
            </w:r>
            <w:r w:rsidR="001566FA" w:rsidRPr="00A94CF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праздничного и продленного дня будет продолжено.</w:t>
            </w:r>
          </w:p>
        </w:tc>
      </w:tr>
      <w:tr w:rsidR="00912E3B" w:rsidRPr="009F735C" w:rsidTr="0034096C">
        <w:trPr>
          <w:trHeight w:val="177"/>
        </w:trPr>
        <w:tc>
          <w:tcPr>
            <w:tcW w:w="1980" w:type="dxa"/>
            <w:shd w:val="clear" w:color="000000" w:fill="FFFFFF"/>
            <w:hideMark/>
          </w:tcPr>
          <w:p w:rsidR="00912E3B" w:rsidRPr="009F735C" w:rsidRDefault="00912E3B" w:rsidP="009F031F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4.3. Создание доступной системы сопровождения детей с трудностями в развитии</w:t>
            </w:r>
          </w:p>
        </w:tc>
        <w:tc>
          <w:tcPr>
            <w:tcW w:w="2551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4.3.1. Развитие сети дошкольных образовательных организаций с инклюзивными группами, с группами для детей с особенностями в развитии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государственная программа «Развитие образования и науки Республики Татарстан на 2014 – 2025 годы»</w:t>
            </w:r>
          </w:p>
        </w:tc>
        <w:tc>
          <w:tcPr>
            <w:tcW w:w="2410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МКУ "Отдел образования Высокогорского муниципального района"</w:t>
            </w:r>
          </w:p>
        </w:tc>
        <w:tc>
          <w:tcPr>
            <w:tcW w:w="1134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2025 годы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I, II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Рост числа дошкольных образовательных организаций, оказывающих услуги детям с особенностями в развитии</w:t>
            </w:r>
          </w:p>
        </w:tc>
        <w:tc>
          <w:tcPr>
            <w:tcW w:w="2127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 базе МБДОУ «Высокогорский детский сад «Байгыш» функционирует одна группа для детей РАС </w:t>
            </w:r>
            <w:r w:rsidRPr="009F73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(с </w:t>
            </w:r>
            <w:r w:rsidRPr="009F73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расстройством аутистического спектра);</w:t>
            </w:r>
          </w:p>
          <w:p w:rsidR="00912E3B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9F735C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В пяти детских садах действуют 6 логопедических групп, предназначенные для обучения детей с нарушениями речи.</w:t>
            </w:r>
          </w:p>
          <w:p w:rsidR="00E07FA6" w:rsidRDefault="00E07FA6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4725E3" w:rsidRPr="009F735C" w:rsidRDefault="004725E3" w:rsidP="004725E3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абота по р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азвити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сети дошкольных образовательных организаций с инклюзивными группами, с группами для детей с особенностями в развитии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будет продолжена</w:t>
            </w:r>
          </w:p>
          <w:p w:rsidR="00201D3B" w:rsidRPr="0009485C" w:rsidRDefault="00201D3B" w:rsidP="00201D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12E3B" w:rsidRPr="009F735C" w:rsidTr="0034096C">
        <w:trPr>
          <w:trHeight w:val="177"/>
        </w:trPr>
        <w:tc>
          <w:tcPr>
            <w:tcW w:w="198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4.4. 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Введение уроков домоводства в школах (вышивка, пряжа, тканное дело, вязание, кулинарное искусство)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4.4.1. Развитие творческого потенциала и духовно-нравственное воспитание населения</w:t>
            </w:r>
          </w:p>
        </w:tc>
        <w:tc>
          <w:tcPr>
            <w:tcW w:w="198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без включения в государственную программу</w:t>
            </w:r>
          </w:p>
        </w:tc>
        <w:tc>
          <w:tcPr>
            <w:tcW w:w="241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МКУ "Отдел образования Высокогорского муниципального района"</w:t>
            </w:r>
          </w:p>
        </w:tc>
        <w:tc>
          <w:tcPr>
            <w:tcW w:w="113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2022-2027 годы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I, II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Приобщение детей к домоводству, общее развитие</w:t>
            </w:r>
          </w:p>
        </w:tc>
        <w:tc>
          <w:tcPr>
            <w:tcW w:w="2127" w:type="dxa"/>
            <w:shd w:val="clear" w:color="000000" w:fill="FFFFFF"/>
          </w:tcPr>
          <w:p w:rsidR="00912E3B" w:rsidRDefault="00912E3B" w:rsidP="00D545D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обр</w:t>
            </w:r>
            <w:r w:rsidR="00D545D4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азовательных учреждениях района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рамках предмета «Технология. Обслуживающий труд» ведутся уроки домоводства.</w:t>
            </w:r>
            <w:r w:rsidR="00D545D4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школе №5 имени Братьев Максуди организованы классы для обучения приготовлению еды, шитью, работе по дереву, сварке.</w:t>
            </w:r>
            <w:r w:rsidR="00C82E50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61D4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большинстве школ вводятся дежурства в столовых.</w:t>
            </w:r>
          </w:p>
          <w:p w:rsidR="000E2E00" w:rsidRPr="009F735C" w:rsidRDefault="00E61D4C" w:rsidP="00E61D4C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Работа по в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ведени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уроков домоводства в школах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будет продолжена. </w:t>
            </w:r>
          </w:p>
        </w:tc>
      </w:tr>
      <w:tr w:rsidR="00912E3B" w:rsidRPr="009F735C" w:rsidTr="0034096C">
        <w:trPr>
          <w:trHeight w:val="20"/>
        </w:trPr>
        <w:tc>
          <w:tcPr>
            <w:tcW w:w="198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Реконструкция зданий учреждений культуры, находящихся в неудовлетворительном состоянии и не отвечающих современным требованиям к условиям осуществления культурной деятельности (программа «Точки роста культуры»)</w:t>
            </w:r>
          </w:p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5.1. Строительство и ремонт объектов культурного назначения</w:t>
            </w:r>
          </w:p>
        </w:tc>
        <w:tc>
          <w:tcPr>
            <w:tcW w:w="198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«Развитие культуры Высокогорского муниципального района на 2022-2024гг.»</w:t>
            </w:r>
          </w:p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региональный проект «Культурная среда» национально-го проекта «Культура»</w:t>
            </w:r>
          </w:p>
        </w:tc>
        <w:tc>
          <w:tcPr>
            <w:tcW w:w="2410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МКУ «Отдел культуры Исполнительного комитета Высокогорского муниципального района»</w:t>
            </w:r>
          </w:p>
        </w:tc>
        <w:tc>
          <w:tcPr>
            <w:tcW w:w="113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2024 годы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EB7989" w:rsidP="00EB7989">
            <w:pPr>
              <w:keepNext/>
              <w:widowControl/>
              <w:spacing w:line="228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Увеличение доли учреждений, находящихся в удовлетворительном состоянии до 75%</w:t>
            </w:r>
          </w:p>
        </w:tc>
        <w:tc>
          <w:tcPr>
            <w:tcW w:w="2127" w:type="dxa"/>
            <w:shd w:val="clear" w:color="000000" w:fill="FFFFFF"/>
          </w:tcPr>
          <w:p w:rsidR="00912E3B" w:rsidRPr="00DE2F18" w:rsidRDefault="00EB7989" w:rsidP="00EB7989">
            <w:pPr>
              <w:keepNext/>
              <w:widowControl/>
              <w:spacing w:line="228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</w:t>
            </w:r>
            <w:r w:rsidR="00E34378"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оля учреждений, находящихся в удовлетворительном состоянии </w:t>
            </w:r>
            <w:r w:rsidR="004D4897"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2022 году </w:t>
            </w:r>
            <w:r w:rsidR="00E267BD"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 w:rsidR="00912E3B"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79,2%</w:t>
            </w:r>
            <w:r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EB7989" w:rsidRPr="00DE2F18" w:rsidRDefault="00EB7989" w:rsidP="00E34378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EB7989" w:rsidRPr="00DE2F18" w:rsidRDefault="009F3794" w:rsidP="00533F9D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20</w:t>
            </w:r>
            <w:r w:rsidR="00E267BD"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 году начат, </w:t>
            </w:r>
            <w:r w:rsidR="00533F9D"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феврале 2023 </w:t>
            </w:r>
            <w:r w:rsidR="00CC3372"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завершен </w:t>
            </w:r>
            <w:r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267BD"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ремонт в Ямашурминском сельском доме культуры </w:t>
            </w:r>
            <w:r w:rsidR="000C3667"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 </w:t>
            </w:r>
            <w:r w:rsidR="007058E2"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РКМ РТ №2287-р от 26.10.22</w:t>
            </w:r>
            <w:r w:rsidR="001009B5"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г.</w:t>
            </w:r>
          </w:p>
          <w:p w:rsidR="00CC3372" w:rsidRPr="00DE2F18" w:rsidRDefault="00CC3372" w:rsidP="00533F9D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Проведены следующие работы: укрепление фундамента, ремонт фасада, замена крыши, реконструкция внутренних помещений, замена отопительной системы и водоснабжения, замена электропроводки, ремонт отдельно стоящей котельной, ремонт подвального помещения, замена окон, дверей, напольного покрытия. Полное оснащение материально-технической базы: приобретение звукового  оборудования, экран, проектор, звуковая акустическая система, замена кресел, приобретение офисной мебели,  орг.техники.  Благоустройство территории СДК.</w:t>
            </w:r>
          </w:p>
          <w:p w:rsidR="004D2BE8" w:rsidRPr="00DE2F18" w:rsidRDefault="00BA3FD5" w:rsidP="00AE246E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Работа по реконструкции объектов культурного </w:t>
            </w:r>
            <w:r w:rsidR="00AE246E"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назначения</w:t>
            </w:r>
            <w:r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будет продолжена</w:t>
            </w:r>
            <w:r w:rsidR="004D2BE8"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912E3B" w:rsidRPr="009F735C" w:rsidTr="0034096C">
        <w:trPr>
          <w:trHeight w:val="736"/>
        </w:trPr>
        <w:tc>
          <w:tcPr>
            <w:tcW w:w="1980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spacing w:line="235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5.1. Развитие      кооперации сферы культуры и туризма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5.1.1. Создание (реконструкция) культурно-досуговых организаций клубного типа на территориях сельских поселений и обеспечение развития муниципальных библиотек</w:t>
            </w:r>
          </w:p>
        </w:tc>
        <w:tc>
          <w:tcPr>
            <w:tcW w:w="1985" w:type="dxa"/>
            <w:shd w:val="clear" w:color="auto" w:fill="auto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региональный проект «Культурная среда» национального проекта «Культура»</w:t>
            </w:r>
          </w:p>
        </w:tc>
        <w:tc>
          <w:tcPr>
            <w:tcW w:w="2410" w:type="dxa"/>
            <w:shd w:val="clear" w:color="auto" w:fill="auto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МКУ «Отдел культуры Исполнительного комитета Высокогорского муниципального района»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2022 – 2024 годы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Обновление (строительство и капитальный ремонт) культурно-досуговых организаций клубного типа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территориях сельских поселений</w:t>
            </w:r>
            <w:r w:rsidRPr="009F735C"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  <w:t>;</w:t>
            </w:r>
          </w:p>
          <w:p w:rsidR="00912E3B" w:rsidRPr="009F735C" w:rsidRDefault="00912E3B" w:rsidP="00912E3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увеличения охвата населения района библиотечным обслуживанием;</w:t>
            </w:r>
          </w:p>
          <w:p w:rsidR="00912E3B" w:rsidRPr="009F735C" w:rsidRDefault="00912E3B" w:rsidP="00912E3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увеличения доли новых поступлений в совокупном фонде общедоступных библиотек;</w:t>
            </w:r>
          </w:p>
          <w:p w:rsidR="00912E3B" w:rsidRPr="009F735C" w:rsidRDefault="00912E3B" w:rsidP="00912E3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роста количества наименований централизованной подписки; увеличения количества библиографичес-ких записей в Сводном электронном каталоге библиотек;</w:t>
            </w:r>
          </w:p>
          <w:p w:rsidR="00912E3B" w:rsidRPr="009F735C" w:rsidRDefault="00912E3B" w:rsidP="00912E3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увеличения доли общедоступных библиотек, оснащенных доступом в сеть Интернет;</w:t>
            </w:r>
          </w:p>
          <w:p w:rsidR="00912E3B" w:rsidRPr="009F735C" w:rsidRDefault="00912E3B" w:rsidP="00912E3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увеличения доли библиотек, обеспеченных современным библиотечным оборудованием и мебелью;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shd w:val="clear" w:color="000000" w:fill="FFFFFF"/>
          </w:tcPr>
          <w:p w:rsidR="00912E3B" w:rsidRPr="00DE2F18" w:rsidRDefault="00912E3B" w:rsidP="00912E3B">
            <w:pPr>
              <w:widowControl/>
              <w:ind w:left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2022 был проведен капитальный ремонт Бирюлинского ДК. На сегодняшний день ведется стр</w:t>
            </w:r>
            <w:r w:rsidR="00EB2FC8"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оительство сельского клуба в д.</w:t>
            </w:r>
            <w:r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Татарская Айша. На стадии завершения капитальный ремонт в Ямашурминском СДК. Начат капитальный ремонт в д.Куркачинком и Средне-Алатском СДК. В ближайшее время будет начато строительство Инсинского СДК.</w:t>
            </w:r>
          </w:p>
          <w:p w:rsidR="00912E3B" w:rsidRPr="00DE2F18" w:rsidRDefault="00912E3B" w:rsidP="00912E3B">
            <w:pPr>
              <w:widowControl/>
              <w:ind w:left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912E3B" w:rsidRPr="00DE2F18" w:rsidRDefault="00912E3B" w:rsidP="00912E3B">
            <w:pPr>
              <w:widowControl/>
              <w:ind w:left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Охват населения библиотечными услугами МБУ «Высокогорская ЦБС» за отчетный год составил 52,2%.  Доля новых поступлений в совокупном фонде  за 2022 год увеличилась, по сравнению с предыдущим отчетным периодом на 0,6% и составила 2,1%.  Количество библиографических записей в Сводном электронном каталоге за 2022 год выросло на 4612.  Доля библиотек, имеющих доступ к сети Интернет по сравнению с прошлым отчетным периодом не изменилась  и составила 83,8%. В отчетном году для 21 библиотеки МБУ «Высокогорская ЦБС» была приобретена мебель и оборудование</w:t>
            </w:r>
            <w:r w:rsidR="00F17034"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F17034" w:rsidRPr="00DE2F18" w:rsidRDefault="00F17034" w:rsidP="00912E3B">
            <w:pPr>
              <w:widowControl/>
              <w:ind w:left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17034" w:rsidRPr="00DE2F18" w:rsidRDefault="00F17034" w:rsidP="00F17034">
            <w:pPr>
              <w:widowControl/>
              <w:ind w:left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2F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Работа по созданию (реконструкции) культурно-досуговых организаций клубного типа на территориях сельских поселений и развитие муниципальных библиотек будет продолжено.</w:t>
            </w:r>
          </w:p>
        </w:tc>
      </w:tr>
      <w:tr w:rsidR="00912E3B" w:rsidRPr="009F735C" w:rsidTr="0034096C">
        <w:trPr>
          <w:trHeight w:val="290"/>
        </w:trPr>
        <w:tc>
          <w:tcPr>
            <w:tcW w:w="1980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 Программа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внедрения проектного финансирования для территориальных программ занятости</w:t>
            </w:r>
          </w:p>
        </w:tc>
        <w:tc>
          <w:tcPr>
            <w:tcW w:w="2551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6.1. Разработка и реализация муниципальных программ содействия занятости</w:t>
            </w:r>
          </w:p>
        </w:tc>
        <w:tc>
          <w:tcPr>
            <w:tcW w:w="198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государственная программа «Содействие занятости населения Республики Татарстан на 2022 – 2027 годы»</w:t>
            </w:r>
          </w:p>
        </w:tc>
        <w:tc>
          <w:tcPr>
            <w:tcW w:w="2410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ГКУ «Центр занятости населения Высокогорского муниципального района», Исполнительный комитет Высокогорского муниципального района</w:t>
            </w:r>
          </w:p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2027 годы</w:t>
            </w:r>
          </w:p>
        </w:tc>
        <w:tc>
          <w:tcPr>
            <w:tcW w:w="1275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I,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II</w:t>
            </w:r>
          </w:p>
        </w:tc>
        <w:tc>
          <w:tcPr>
            <w:tcW w:w="1984" w:type="dxa"/>
            <w:shd w:val="clear" w:color="000000" w:fill="FFFFFF"/>
          </w:tcPr>
          <w:p w:rsidR="00912E3B" w:rsidRPr="009F735C" w:rsidRDefault="00912E3B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Снижение уровня общей безработицы по методике Международной организации труда к 2030 году до 3,5 процента</w:t>
            </w:r>
          </w:p>
        </w:tc>
        <w:tc>
          <w:tcPr>
            <w:tcW w:w="2127" w:type="dxa"/>
            <w:shd w:val="clear" w:color="000000" w:fill="FFFFFF"/>
          </w:tcPr>
          <w:p w:rsidR="00912E3B" w:rsidRPr="009F735C" w:rsidRDefault="009F7BE2" w:rsidP="00912E3B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="00F612D6" w:rsidRPr="009F735C">
              <w:rPr>
                <w:rFonts w:ascii="Times New Roman" w:hAnsi="Times New Roman" w:cs="Times New Roman"/>
                <w:sz w:val="22"/>
                <w:szCs w:val="22"/>
              </w:rPr>
              <w:t>районе ежегодно утверждается Программа содействия занятости населения, целью которой является повышение мобильности трудовых ресурсов, развитие активных форм занятости, оказание адресной поддержки гражданам, особо нуждающимся в социальной защите, социальная поддержка безработных граждан в период активного поиска работы и другие мероприятия. Результатом реализации программы является сохранение уровня безработице, которая составила 0,35%(при прогнозе 0,63%)</w:t>
            </w:r>
            <w:r w:rsidR="00912E3B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безработицы по методике Международной организации труда по району  - 0,9</w:t>
            </w:r>
            <w:r w:rsidR="00F612D6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F612D6" w:rsidRPr="009F735C" w:rsidRDefault="0071745B" w:rsidP="004F4725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Планируется поддержание </w:t>
            </w:r>
            <w:r w:rsidR="00A22D1E">
              <w:rPr>
                <w:rFonts w:ascii="Times New Roman" w:hAnsi="Times New Roman" w:cs="Times New Roman"/>
                <w:sz w:val="22"/>
                <w:szCs w:val="22"/>
              </w:rPr>
              <w:t xml:space="preserve">и дальнейшее снижение </w:t>
            </w:r>
            <w:r w:rsidR="004F4725"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достигнутого уровня </w:t>
            </w: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безработицы</w:t>
            </w:r>
            <w:r w:rsidR="004F4725" w:rsidRPr="009F735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863D00" w:rsidRPr="009F735C" w:rsidTr="0034096C">
        <w:trPr>
          <w:trHeight w:val="580"/>
        </w:trPr>
        <w:tc>
          <w:tcPr>
            <w:tcW w:w="198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33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 Расширение</w:t>
            </w:r>
          </w:p>
          <w:p w:rsidR="00863D00" w:rsidRPr="009F735C" w:rsidRDefault="00863D00" w:rsidP="00863D00">
            <w:pPr>
              <w:keepNext/>
              <w:widowControl/>
              <w:spacing w:line="233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перечня мер поддержки многодетных семей, в том числе обеспечение инженерной инфраструктурой земельных участков для многодетных семей</w:t>
            </w:r>
          </w:p>
        </w:tc>
        <w:tc>
          <w:tcPr>
            <w:tcW w:w="2551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7.1. Обеспечение земельных участков для многодетных семей сетями газоснабжения в соответствии со сроками строительства сетей газоснабжения, обозначенными в региональной программе газификации жилищно-коммунального хозяйства, промышленных и иных организаций Республики Татарстан</w:t>
            </w:r>
          </w:p>
          <w:p w:rsidR="00863D00" w:rsidRPr="009F735C" w:rsidRDefault="00863D00" w:rsidP="00863D00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33" w:lineRule="auto"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Региональная программа газификации жилищно-коммунального хозяйства, промышленных и иных организаций Республики Татарстан, подпрограмма «Устойчивое развитие сельских территорий»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2030 годы»</w:t>
            </w:r>
          </w:p>
          <w:p w:rsidR="00863D00" w:rsidRPr="009F735C" w:rsidRDefault="00863D00" w:rsidP="00863D00">
            <w:pPr>
              <w:keepNext/>
              <w:widowControl/>
              <w:spacing w:line="233" w:lineRule="auto"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Отдел строительства, архитектуры 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33" w:lineRule="auto"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2022 – 2030</w:t>
            </w:r>
          </w:p>
          <w:p w:rsidR="00863D00" w:rsidRPr="009F735C" w:rsidRDefault="00863D00" w:rsidP="00863D00">
            <w:pPr>
              <w:keepNext/>
              <w:widowControl/>
              <w:spacing w:line="233" w:lineRule="auto"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годы</w:t>
            </w:r>
          </w:p>
        </w:tc>
        <w:tc>
          <w:tcPr>
            <w:tcW w:w="127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33" w:lineRule="auto"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I, II, III</w:t>
            </w:r>
          </w:p>
        </w:tc>
        <w:tc>
          <w:tcPr>
            <w:tcW w:w="198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33" w:lineRule="auto"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100-процентное обеспечение 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земельных участков для многодетных семей сетями газоснабжения </w:t>
            </w:r>
          </w:p>
          <w:p w:rsidR="00863D00" w:rsidRPr="009F735C" w:rsidRDefault="00863D00" w:rsidP="00863D00">
            <w:pPr>
              <w:keepNext/>
              <w:widowControl/>
              <w:spacing w:line="233" w:lineRule="auto"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</w:tcPr>
          <w:p w:rsidR="00863D00" w:rsidRPr="009F735C" w:rsidRDefault="00863D00" w:rsidP="001F2A42">
            <w:pPr>
              <w:keepNext/>
              <w:widowControl/>
              <w:spacing w:line="233" w:lineRule="auto"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По программам догазификации ведется строительство сетей газоснабжения по заявкам собственников</w:t>
            </w:r>
            <w:r w:rsidR="006C669B"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. На сегодняшний день обеспечение семей по данной программе 867 из плановых 1200. </w:t>
            </w:r>
            <w:r w:rsidR="001F2A42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Работа по о</w:t>
            </w:r>
            <w:r w:rsidR="001F2A42" w:rsidRPr="001F2A42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беспечени</w:t>
            </w:r>
            <w:r w:rsidR="001F2A42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ю</w:t>
            </w:r>
            <w:r w:rsidR="001F2A42" w:rsidRPr="001F2A42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земельных участков для многодетных семей сетями газоснабжения в соответствии со сроками строительства сетей газоснабжения, обозначенными в региональной программе газификации жилищно-коммунального хозяйства</w:t>
            </w:r>
            <w:r w:rsidR="001F2A42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, будет продолжена</w:t>
            </w:r>
            <w:r w:rsidR="00413282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863D00" w:rsidRPr="009F735C" w:rsidTr="0034096C">
        <w:trPr>
          <w:trHeight w:val="580"/>
        </w:trPr>
        <w:tc>
          <w:tcPr>
            <w:tcW w:w="198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33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strike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7.2. Обеспечение земельных участков для многодетных семей асфальтированными и грунтовыми дорогами </w:t>
            </w:r>
          </w:p>
        </w:tc>
        <w:tc>
          <w:tcPr>
            <w:tcW w:w="198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без включения в государственную программу</w:t>
            </w:r>
          </w:p>
        </w:tc>
        <w:tc>
          <w:tcPr>
            <w:tcW w:w="241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Отдел строительства, архитектуры 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2022 – 2027 годы</w:t>
            </w:r>
          </w:p>
        </w:tc>
        <w:tc>
          <w:tcPr>
            <w:tcW w:w="127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I, II</w:t>
            </w:r>
          </w:p>
        </w:tc>
        <w:tc>
          <w:tcPr>
            <w:tcW w:w="198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100-процентное обеспечение 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земельных участков для многодетных семей асфальтированными и грунтовыми дорогами </w:t>
            </w:r>
          </w:p>
          <w:p w:rsidR="00863D00" w:rsidRPr="009F735C" w:rsidRDefault="00863D00" w:rsidP="00863D00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</w:tcPr>
          <w:p w:rsidR="00863D00" w:rsidRPr="009F735C" w:rsidRDefault="00863D00" w:rsidP="005B1ACC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Без подведения инженерных сетей до участков нецелесообразно строительство дорог</w:t>
            </w:r>
            <w:r w:rsidR="00381370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.</w:t>
            </w:r>
            <w:r w:rsidR="004F5DA5"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381370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В</w:t>
            </w:r>
            <w:r w:rsidR="005C46AC"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настоящее время </w:t>
            </w:r>
            <w:r w:rsidR="004F5DA5"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ведется работа</w:t>
            </w:r>
            <w:r w:rsidR="005B1AC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4F5DA5"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по  подведению инженерных сетей до участков.</w:t>
            </w:r>
            <w:r w:rsidR="00381370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Работа по обеспечению </w:t>
            </w:r>
            <w:r w:rsidR="00381370" w:rsidRPr="00381370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земельных участков для многодетных семей асфальтированными и грунтовыми дорогами</w:t>
            </w:r>
            <w:r w:rsidR="00381370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, будет продолжена.</w:t>
            </w:r>
            <w:r w:rsidR="00F15C6B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863D00" w:rsidRPr="009F735C" w:rsidTr="0034096C">
        <w:trPr>
          <w:trHeight w:val="580"/>
        </w:trPr>
        <w:tc>
          <w:tcPr>
            <w:tcW w:w="198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7.1. Проект   «Реновация расселения»</w:t>
            </w:r>
          </w:p>
        </w:tc>
        <w:tc>
          <w:tcPr>
            <w:tcW w:w="2551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7.1.1. Развитие территорий под многоквартирную жилую застройку в муниципальных районах Казанской агломерации. Разработка и утверждение проектов планировки территорий. Корректировка схем территориального планирования муниципальных районов</w:t>
            </w:r>
          </w:p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Комфортное жилье </w:t>
            </w:r>
          </w:p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подпрограмма «Совершенствование государственной экономической политики в Республике Татарстан на 2014 – 2022 годы» государственной программы «Экономическое развитие и инновационная экономика Республики Татарстан на 2014 – 2022 годы»</w:t>
            </w:r>
          </w:p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Отдел строительства , архитектуры 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2024 годы</w:t>
            </w:r>
          </w:p>
        </w:tc>
        <w:tc>
          <w:tcPr>
            <w:tcW w:w="127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</w:p>
        </w:tc>
        <w:tc>
          <w:tcPr>
            <w:tcW w:w="198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Рост обеспеченности населения жилой площадью. Рост обеспеченности территорий утвержденной документацией по планировке территории. Рост обеспеченности территорий актуализированными схемами территориального планирования муниципальных районов</w:t>
            </w:r>
          </w:p>
        </w:tc>
        <w:tc>
          <w:tcPr>
            <w:tcW w:w="2127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Документация по проектам планировки территории утверждены, Выполняется строительство так</w:t>
            </w:r>
            <w:r w:rsidR="00851197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х ЖК как «Белая аллея»</w:t>
            </w:r>
            <w:r w:rsidR="00851197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- 67,8 тыс.кв.м.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«Атмосфера»</w:t>
            </w:r>
            <w:r w:rsidR="00851197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- 165 тыс.кв.м,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«Прованс»</w:t>
            </w:r>
            <w:r w:rsidR="00851197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- 73,9 тыс.кв.м.</w:t>
            </w:r>
          </w:p>
          <w:p w:rsidR="00851197" w:rsidRPr="009F735C" w:rsidRDefault="00F15C6B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15C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Развитие территорий под многоквартирную жилую застройку в муниципальных районах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будет продолжена.</w:t>
            </w:r>
          </w:p>
        </w:tc>
      </w:tr>
      <w:tr w:rsidR="00863D00" w:rsidRPr="009F735C" w:rsidTr="0001671B">
        <w:trPr>
          <w:trHeight w:val="989"/>
        </w:trPr>
        <w:tc>
          <w:tcPr>
            <w:tcW w:w="198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7.2. Проект «Развитие и модернизация инженерной инфраструктуры Казанской агломерации»</w:t>
            </w:r>
          </w:p>
        </w:tc>
        <w:tc>
          <w:tcPr>
            <w:tcW w:w="2551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7.2.1. Разработка и реализация программ комплексного развития систем коммунальной инфраструктуры, инвестиционных программ организаций, осуществляющих регулируемые виды деятельности в сферах теплоснабжения, водоснабжения и водоотведения; реализация механизма государственно-частного партнерства в жилищно-коммунальном хозяйстве; реализация программы развития и капитального ремонта коммунальной инфраструктуры Казанской агломерации</w:t>
            </w:r>
          </w:p>
        </w:tc>
        <w:tc>
          <w:tcPr>
            <w:tcW w:w="1985" w:type="dxa"/>
            <w:shd w:val="clear" w:color="000000" w:fill="FFFFFF"/>
          </w:tcPr>
          <w:p w:rsidR="00863D00" w:rsidRPr="009F735C" w:rsidRDefault="00F9523A" w:rsidP="00863D00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</w:t>
            </w:r>
            <w:r w:rsidR="00863D00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осударственная программа «Обеспечение качественным жильем и услугами жилищно-коммунального хозяйства населения Республики Татарстан на </w:t>
            </w:r>
            <w:r w:rsidR="00863D00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2014 – 2021 годы», государственная программа «Экономическое развитие и инновационная экономика Республики Татарстан на 2014 – 2022 годы»</w:t>
            </w:r>
          </w:p>
        </w:tc>
        <w:tc>
          <w:tcPr>
            <w:tcW w:w="241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Отдел строительства, архитектуры 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2024 годы</w:t>
            </w:r>
          </w:p>
        </w:tc>
        <w:tc>
          <w:tcPr>
            <w:tcW w:w="127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</w:p>
        </w:tc>
        <w:tc>
          <w:tcPr>
            <w:tcW w:w="198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Рост обеспеченности населения централизованными услугами водоснабжения, снижение доли канализационной сети, нуждающейся в замене, снижение удельных расходов условного топлива на отпуск электрической и тепловой энергии</w:t>
            </w:r>
          </w:p>
        </w:tc>
        <w:tc>
          <w:tcPr>
            <w:tcW w:w="2127" w:type="dxa"/>
            <w:shd w:val="clear" w:color="000000" w:fill="FFFFFF"/>
          </w:tcPr>
          <w:p w:rsidR="00863D00" w:rsidRDefault="00863D00" w:rsidP="00863D00">
            <w:pPr>
              <w:keepNext/>
              <w:widowControl/>
              <w:spacing w:line="228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Программы комплексного развития разработаны, растет число обеспеченности населения услугами  теплоснабжения, водоснабжения и водоотведения</w:t>
            </w:r>
            <w:r w:rsidR="00894098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 </w:t>
            </w:r>
          </w:p>
          <w:p w:rsidR="0072078C" w:rsidRDefault="0072078C" w:rsidP="0072078C">
            <w:pPr>
              <w:keepNext/>
              <w:widowControl/>
              <w:spacing w:line="228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2078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Необходимо строительство двух биологических очистных сооружений в с.Шапши и пос. ж/д рзд Куркачи с КНС села Чепчуги. В настоящее время проектно-сметная документация изготовлена на с.Шапши и получено положительное заключение государственной экспертизы. По биологическим очистным сооружениям пос. ж/д рзд Куркачи ведется работа по включению в программу проектирования. В части населенных пунктов система централизованного водоснабжения вовсе отсутствует. Просим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Ведется работа по  </w:t>
            </w:r>
            <w:r w:rsidRPr="0072078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включени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ю </w:t>
            </w:r>
            <w:r w:rsidRPr="0072078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поданных заявок по модернизации систем водоснабжения и водоотведения в федеральные и республиканские программы.</w:t>
            </w:r>
          </w:p>
          <w:p w:rsidR="00F15C6B" w:rsidRDefault="00F15C6B" w:rsidP="0072078C">
            <w:pPr>
              <w:keepNext/>
              <w:widowControl/>
              <w:spacing w:line="228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15C6B" w:rsidRPr="009F735C" w:rsidRDefault="00F15C6B" w:rsidP="0001671B">
            <w:pPr>
              <w:keepNext/>
              <w:widowControl/>
              <w:spacing w:line="228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Работа по р</w:t>
            </w:r>
            <w:r w:rsidRPr="00F15C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еализаци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F15C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программ комплексного развития систем коммунальной инфраструктуры, развития и капитального ремонта коммунальной инфраструктуры</w:t>
            </w:r>
            <w:r w:rsidR="0001671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будет продолжена</w:t>
            </w:r>
          </w:p>
        </w:tc>
      </w:tr>
      <w:tr w:rsidR="00863D00" w:rsidRPr="009F735C" w:rsidTr="0034096C">
        <w:trPr>
          <w:trHeight w:val="580"/>
        </w:trPr>
        <w:tc>
          <w:tcPr>
            <w:tcW w:w="198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7.3. Проект «Пригородная зона Казани»</w:t>
            </w:r>
          </w:p>
        </w:tc>
        <w:tc>
          <w:tcPr>
            <w:tcW w:w="2551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7.3.1. Развитие малоэтажного строительства в пригородной территории г.Казани в радиусе 30 километров в направлении всех близлежащих районов</w:t>
            </w:r>
          </w:p>
        </w:tc>
        <w:tc>
          <w:tcPr>
            <w:tcW w:w="198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государственная программа «Обеспечение качественным жильем и услугами жилищно-коммунального хозяйства населения Республики Татарстан на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2014 – 2024 годы»</w:t>
            </w:r>
          </w:p>
        </w:tc>
        <w:tc>
          <w:tcPr>
            <w:tcW w:w="241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Отдел строительства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2024 годы</w:t>
            </w:r>
          </w:p>
        </w:tc>
        <w:tc>
          <w:tcPr>
            <w:tcW w:w="127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</w:p>
        </w:tc>
        <w:tc>
          <w:tcPr>
            <w:tcW w:w="198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trike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Рост доли малоэтажного строительства до 45 процентов от объема введенного жилья по Республике Татарстан </w:t>
            </w:r>
          </w:p>
        </w:tc>
        <w:tc>
          <w:tcPr>
            <w:tcW w:w="2127" w:type="dxa"/>
            <w:shd w:val="clear" w:color="000000" w:fill="FFFFFF"/>
          </w:tcPr>
          <w:p w:rsidR="00863D00" w:rsidRPr="009F735C" w:rsidRDefault="00863D00" w:rsidP="007657DF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районе преобладает малоэтажное строительство, порядка 90% от общего строительства составляет </w:t>
            </w:r>
            <w:r w:rsidR="007657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ИЖС</w:t>
            </w:r>
            <w:r w:rsidR="00854BD5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Индивидуальное строительство ведется в Чернышевском сельском поселении ( «Усадьбы у Озера»,  Усадское поселение «Роса», Высокогорское поселение «Монте Альто»</w:t>
            </w:r>
            <w:r w:rsidR="009568CB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Дачное поселение «Эль дача», </w:t>
            </w:r>
            <w:r w:rsidR="00EA59FB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Семиозерское поселение «Совушка»</w:t>
            </w:r>
            <w:r w:rsidR="00912625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7657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657DF">
              <w:t xml:space="preserve"> </w:t>
            </w:r>
            <w:r w:rsidR="007657DF" w:rsidRPr="007657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Развитие малоэтажного строительства</w:t>
            </w:r>
            <w:r w:rsidR="007657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будет продолжено.</w:t>
            </w:r>
          </w:p>
        </w:tc>
      </w:tr>
      <w:tr w:rsidR="00863D00" w:rsidRPr="009F735C" w:rsidTr="00A552F5">
        <w:trPr>
          <w:trHeight w:val="2123"/>
        </w:trPr>
        <w:tc>
          <w:tcPr>
            <w:tcW w:w="1980" w:type="dxa"/>
            <w:shd w:val="clear" w:color="000000" w:fill="FFFFFF"/>
            <w:hideMark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7.4. Координация</w:t>
            </w:r>
          </w:p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пространственного развития</w:t>
            </w:r>
          </w:p>
        </w:tc>
        <w:tc>
          <w:tcPr>
            <w:tcW w:w="2551" w:type="dxa"/>
            <w:shd w:val="clear" w:color="000000" w:fill="FFFFFF"/>
            <w:hideMark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7.4.1. Развитие и сопровождение региональной навигационно-информационной системы на базе Единой государственной информационной системы Республики Татарстан</w:t>
            </w:r>
          </w:p>
        </w:tc>
        <w:tc>
          <w:tcPr>
            <w:tcW w:w="198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ЭФ</w:t>
            </w:r>
          </w:p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государственная программа «Развитие информационных и коммуникационных технологий в Республике Татарстан «Открытый Татарстан» на 2014 – 2022 годы», новая государствен-ная программа «Развитие информационных и коммуникационных технологий в Республике Татарстан («Открытый Татарстан»)»</w:t>
            </w:r>
          </w:p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  <w:hideMark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МКУ "Отдел образования Высокогорского муниципального района",Отдел строительства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  <w:hideMark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2024 годы</w:t>
            </w:r>
          </w:p>
        </w:tc>
        <w:tc>
          <w:tcPr>
            <w:tcW w:w="127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</w:p>
        </w:tc>
        <w:tc>
          <w:tcPr>
            <w:tcW w:w="198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Повышение безопасности перевозки пассажиров, перевозки грузов, населения на транспортной и придорожной инфраструктуре</w:t>
            </w:r>
          </w:p>
        </w:tc>
        <w:tc>
          <w:tcPr>
            <w:tcW w:w="2127" w:type="dxa"/>
            <w:shd w:val="clear" w:color="000000" w:fill="FFFFFF"/>
          </w:tcPr>
          <w:p w:rsidR="00863D00" w:rsidRPr="009F735C" w:rsidRDefault="00A97DBE" w:rsidP="008B3864">
            <w:pPr>
              <w:keepNext/>
              <w:widowControl/>
              <w:spacing w:line="228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целях получения доступного качества образования организован подвоз учащихся школьными автобусами к базовым школам. Автобусный парк составляет 30 машин, которые осуществляют подвоз из 42 населенных пунктов. В 2022 году благодаря поддержке Раиса Республики Татарстан, район получил 14 новых школьных автобусов. Все школьные автобусы доступны в ЕГИС «ГЛОНАСС+112»</w:t>
            </w:r>
            <w:r w:rsidR="008B38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8B3864">
              <w:t xml:space="preserve"> </w:t>
            </w:r>
            <w:r w:rsidR="008B3864" w:rsidRPr="008B38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</w:t>
            </w:r>
            <w:r w:rsidR="008B38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абота по р</w:t>
            </w:r>
            <w:r w:rsidR="008B3864" w:rsidRPr="008B38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азвити</w:t>
            </w:r>
            <w:r w:rsidR="008B38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</w:t>
            </w:r>
            <w:r w:rsidR="008B3864" w:rsidRPr="008B38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сопровождени</w:t>
            </w:r>
            <w:r w:rsidR="008B38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ю</w:t>
            </w:r>
            <w:r w:rsidR="008B3864" w:rsidRPr="008B38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региональной навигационно-информационной системы на базе Единой государственной информационной системы </w:t>
            </w:r>
            <w:r w:rsidR="008B38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РТ будет продолжена.</w:t>
            </w:r>
          </w:p>
        </w:tc>
      </w:tr>
      <w:tr w:rsidR="00863D00" w:rsidRPr="009F735C" w:rsidTr="0034096C">
        <w:trPr>
          <w:trHeight w:val="319"/>
        </w:trPr>
        <w:tc>
          <w:tcPr>
            <w:tcW w:w="198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7.5.  Повышение</w:t>
            </w:r>
          </w:p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качества питьевой воды для населения, в том числе </w:t>
            </w:r>
            <w:r w:rsidR="00712D61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для жителей населенных пунктов,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 оборудованных современными система</w:t>
            </w:r>
            <w:r w:rsidR="00D25F6C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ми централизованного водоснабже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ния</w:t>
            </w:r>
          </w:p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7.5.1. 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  <w:tc>
          <w:tcPr>
            <w:tcW w:w="198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государственная программа «Обеспечение качественным жильем и услугами жилищно-коммунального хозяйства населения Республики Татарстан на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2014 – 2022 годы»</w:t>
            </w:r>
          </w:p>
        </w:tc>
        <w:tc>
          <w:tcPr>
            <w:tcW w:w="241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Отдел строительства, архитектуры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2022 – 2027 годы</w:t>
            </w:r>
          </w:p>
        </w:tc>
        <w:tc>
          <w:tcPr>
            <w:tcW w:w="127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I, II</w:t>
            </w:r>
          </w:p>
        </w:tc>
        <w:tc>
          <w:tcPr>
            <w:tcW w:w="198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Увеличение доли населения Республики Татарстан, обеспеченного качественной питьевой водой из систем централизованного водоснабжения, до 97,9 процента</w:t>
            </w:r>
          </w:p>
        </w:tc>
        <w:tc>
          <w:tcPr>
            <w:tcW w:w="2127" w:type="dxa"/>
            <w:shd w:val="clear" w:color="000000" w:fill="FFFFFF"/>
          </w:tcPr>
          <w:p w:rsidR="009F031F" w:rsidRPr="009F735C" w:rsidRDefault="009F031F" w:rsidP="009F031F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Существенной проблемой населения на сегодняшний день является дефицит воды, возникающий в результате большого объема потребления и недостаточной производительности существующих объектов водоснабжения. </w:t>
            </w:r>
          </w:p>
          <w:p w:rsidR="00863D00" w:rsidRPr="009F735C" w:rsidRDefault="009F031F" w:rsidP="00A552F5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Серьезные опасения на сегодняшний день вызывает состояние объектов и сетей водоснабжения населенных пунктов Высокая Гора, Усады, Шигали, Дубъязы, Дачное, Пановка, Хохлово и Садилово. Ввиду того, что численность жителей данных населенных пунктов ежегодно возрастает, существующие объекты и инженерные сети требуют модернизации. Об этом свидетельствует приостановка выдачи населению технических условий на подключение к централизованной системе водоснабжения. Необходимо строительство двух биологических очистных сооружений в с.Шапши и пос. ж/д рзд Куркачи с КНС села Чепчуги. В настоящее время проектно-сметная документация изготовлена на с.Шапши и получено положительное заключение государственной экспертизы. По биологическим очистным сооружениям пос. ж/д рзд Куркачи ведется работа по включению в программу проектирования. В части населенных пунктов система централизованного водоснабжения вовсе отсутствует. </w:t>
            </w:r>
            <w:r w:rsidR="002755E2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Ведется</w:t>
            </w:r>
            <w:r w:rsidR="00A552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будет продолжена </w:t>
            </w:r>
            <w:r w:rsidR="002755E2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работа по включению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поданных заявок по модернизации систем водоснабжения и водоотведения в федеральные и республиканские программы. </w:t>
            </w:r>
          </w:p>
        </w:tc>
      </w:tr>
      <w:tr w:rsidR="00863D00" w:rsidRPr="009F735C" w:rsidTr="0034096C">
        <w:trPr>
          <w:trHeight w:val="319"/>
        </w:trPr>
        <w:tc>
          <w:tcPr>
            <w:tcW w:w="198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7.6. Снижение административной нагрузки на застройщиков, совершенствование нормативно-пра</w:t>
            </w:r>
            <w:r w:rsidR="007F20F9" w:rsidRPr="009F735C">
              <w:rPr>
                <w:rFonts w:ascii="Times New Roman" w:hAnsi="Times New Roman" w:cs="Times New Roman"/>
                <w:sz w:val="22"/>
                <w:szCs w:val="22"/>
              </w:rPr>
              <w:t>вовой базы и порядка регулирова</w:t>
            </w: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ния деятельности в сфере жилищного строительства</w:t>
            </w:r>
          </w:p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7.6.1. Сокращение сроков предоставления услуги по получению разрешения на строительство</w:t>
            </w:r>
          </w:p>
        </w:tc>
        <w:tc>
          <w:tcPr>
            <w:tcW w:w="198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государственная программа «Обеспечение качественным жильем и услугами жилищно-коммунального хозяйства населения Республики Татарстан на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2014 – 2022 годы»</w:t>
            </w:r>
          </w:p>
        </w:tc>
        <w:tc>
          <w:tcPr>
            <w:tcW w:w="241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Отдел строительства, архитектуры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2022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год</w:t>
            </w:r>
          </w:p>
        </w:tc>
        <w:tc>
          <w:tcPr>
            <w:tcW w:w="127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</w:t>
            </w:r>
          </w:p>
        </w:tc>
        <w:tc>
          <w:tcPr>
            <w:tcW w:w="198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Уменьшение предельного срока прохождения всех процедур, необходимых для получения разрешения на строительство эталонного объекта капитального строительства непроизводственного назначения до 56 дней</w:t>
            </w:r>
          </w:p>
        </w:tc>
        <w:tc>
          <w:tcPr>
            <w:tcW w:w="2127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Ведется </w:t>
            </w:r>
            <w:r w:rsidR="009F72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 будет продолжена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работа по  </w:t>
            </w:r>
            <w:r w:rsidR="00AF64E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меньшению предельного срока прохождения всех процедур, необходимых для получения разрешения на строительство</w:t>
            </w:r>
            <w:r w:rsidR="009F726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863D00" w:rsidRPr="009F735C" w:rsidTr="0034096C">
        <w:trPr>
          <w:trHeight w:val="319"/>
        </w:trPr>
        <w:tc>
          <w:tcPr>
            <w:tcW w:w="198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7.7. Кардинальное</w:t>
            </w:r>
          </w:p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повышение комфортности  городской среды на территории Республики Татарстан</w:t>
            </w:r>
          </w:p>
        </w:tc>
        <w:tc>
          <w:tcPr>
            <w:tcW w:w="2551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7.7.1. Реализация мероприятий федерального проекта «Формирование комфортной городской среды» </w:t>
            </w:r>
          </w:p>
        </w:tc>
        <w:tc>
          <w:tcPr>
            <w:tcW w:w="198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государственная программа «Формирование современной городской среды на территории Республики Татарстан на 2018–2022гг»</w:t>
            </w:r>
          </w:p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Отдел строительства, архитектуры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2027 годы</w:t>
            </w:r>
          </w:p>
        </w:tc>
        <w:tc>
          <w:tcPr>
            <w:tcW w:w="127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I, II</w:t>
            </w:r>
          </w:p>
        </w:tc>
        <w:tc>
          <w:tcPr>
            <w:tcW w:w="198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Рост индекса качества городской среды на 30 процентов</w:t>
            </w:r>
          </w:p>
        </w:tc>
        <w:tc>
          <w:tcPr>
            <w:tcW w:w="2127" w:type="dxa"/>
            <w:shd w:val="clear" w:color="000000" w:fill="FFFFFF"/>
          </w:tcPr>
          <w:p w:rsidR="00673A0C" w:rsidRPr="009F735C" w:rsidRDefault="00863D00" w:rsidP="00946207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 по программе</w:t>
            </w:r>
            <w:r w:rsidR="00427156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«Формирование современной городской среды   вводится в эксплуатацию не менее одного объекта</w:t>
            </w:r>
            <w:r w:rsidR="00946207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  <w:p w:rsidR="00673A0C" w:rsidRPr="009F735C" w:rsidRDefault="00673A0C" w:rsidP="00673A0C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 республиканской программе «Комфортная среда» выполнена первая очередь строительства «Парка Победы» стоимостью более 13 млн.руб., в текущем году данные работы будут продолжены. </w:t>
            </w:r>
          </w:p>
          <w:p w:rsidR="00673A0C" w:rsidRPr="009F735C" w:rsidRDefault="00673A0C" w:rsidP="00673A0C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программе Комплексного развития сельских территорий выполнено благ</w:t>
            </w:r>
            <w:r w:rsidR="006D7FC2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оустройство Парка в с. Ямашурма. </w:t>
            </w:r>
          </w:p>
          <w:p w:rsidR="0065554E" w:rsidRPr="009F735C" w:rsidRDefault="0065554E" w:rsidP="0065554E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Работа по р</w:t>
            </w:r>
            <w:r w:rsidRPr="0065554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еализаци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Pr="0065554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мероприятий федерального проекта «Формирование комфортной городской среды»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будет продолжена.</w:t>
            </w:r>
          </w:p>
        </w:tc>
      </w:tr>
      <w:tr w:rsidR="00863D00" w:rsidRPr="009F735C" w:rsidTr="0034096C">
        <w:trPr>
          <w:trHeight w:val="319"/>
        </w:trPr>
        <w:tc>
          <w:tcPr>
            <w:tcW w:w="198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7.8. Увеличение доли граждан, принимающих участие в решении вопросов развития городской среды</w:t>
            </w:r>
          </w:p>
        </w:tc>
        <w:tc>
          <w:tcPr>
            <w:tcW w:w="2551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7.8.1. Проведение общественных обсуждений по определению территорий и мероприятий по благоустройству таких территорий при включении объектов в государственную программу формирования современной городской среды</w:t>
            </w:r>
          </w:p>
        </w:tc>
        <w:tc>
          <w:tcPr>
            <w:tcW w:w="198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52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государственная программа «Формирование современной городской среды на территории Республики Татарстан на 2018 – 2022 годы»</w:t>
            </w:r>
          </w:p>
        </w:tc>
        <w:tc>
          <w:tcPr>
            <w:tcW w:w="241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52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Отдел строительства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52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2024 годы</w:t>
            </w:r>
          </w:p>
        </w:tc>
        <w:tc>
          <w:tcPr>
            <w:tcW w:w="1275" w:type="dxa"/>
            <w:shd w:val="clear" w:color="000000" w:fill="FFFFFF"/>
          </w:tcPr>
          <w:p w:rsidR="00863D00" w:rsidRPr="009F735C" w:rsidRDefault="00863D00" w:rsidP="00863D00">
            <w:pPr>
              <w:widowControl/>
              <w:spacing w:line="252" w:lineRule="auto"/>
              <w:ind w:left="3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</w:p>
        </w:tc>
        <w:tc>
          <w:tcPr>
            <w:tcW w:w="1984" w:type="dxa"/>
            <w:shd w:val="clear" w:color="000000" w:fill="FFFFFF"/>
          </w:tcPr>
          <w:p w:rsidR="00863D00" w:rsidRPr="009F735C" w:rsidRDefault="00863D00" w:rsidP="00863D00">
            <w:pPr>
              <w:widowControl/>
              <w:spacing w:line="228" w:lineRule="auto"/>
              <w:ind w:left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Увеличение доли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среды, до 30 процентов</w:t>
            </w:r>
          </w:p>
          <w:p w:rsidR="00863D00" w:rsidRPr="009F735C" w:rsidRDefault="00863D00" w:rsidP="00863D00">
            <w:pPr>
              <w:widowControl/>
              <w:spacing w:line="228" w:lineRule="auto"/>
              <w:ind w:left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</w:tcPr>
          <w:p w:rsidR="005A1158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сегодняшний день идет тенденция к увеличению</w:t>
            </w:r>
            <w:r w:rsidR="00A05E03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граждан, принявших участие в решении вопросов развития городской среды</w:t>
            </w:r>
            <w:r w:rsidR="00E71467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5A1158" w:rsidRPr="009F735C" w:rsidRDefault="005A1158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рамках реализации программы «Наш Двор» проведено благоус</w:t>
            </w:r>
            <w:r w:rsidR="00EC0B0F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тройство 22 дворовых территорий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(72 млн.руб.),</w:t>
            </w:r>
          </w:p>
          <w:p w:rsidR="00863D00" w:rsidRPr="009F735C" w:rsidRDefault="00E71467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</w:t>
            </w:r>
            <w:r w:rsidR="005A1158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анная работа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будет продолжена. </w:t>
            </w:r>
          </w:p>
        </w:tc>
      </w:tr>
      <w:tr w:rsidR="00863D00" w:rsidRPr="009F735C" w:rsidTr="0034096C">
        <w:trPr>
          <w:trHeight w:val="5384"/>
        </w:trPr>
        <w:tc>
          <w:tcPr>
            <w:tcW w:w="198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7.9. Создание инновационного кластера «Умная» инфраструктура» </w:t>
            </w:r>
          </w:p>
        </w:tc>
        <w:tc>
          <w:tcPr>
            <w:tcW w:w="2551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7.9.1. Развитие и сопровождение комплекса автоматизированных информационных</w:t>
            </w:r>
            <w:r w:rsidR="00B07639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систем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«Безопасный город»</w:t>
            </w:r>
          </w:p>
        </w:tc>
        <w:tc>
          <w:tcPr>
            <w:tcW w:w="1985" w:type="dxa"/>
            <w:shd w:val="clear" w:color="000000" w:fill="FFFFFF"/>
          </w:tcPr>
          <w:p w:rsidR="00863D00" w:rsidRPr="009F735C" w:rsidRDefault="00863D00" w:rsidP="00E96A53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государственная программа «Развитие информационных и коммуникационных технологий в Республике Татарстан «Открытый Татарстан» на 2014–2022гг», новая государственная программа «Развитие информационных и коммуникационных технологий в Республике Татарстан («Открытый Татарстан»)»</w:t>
            </w:r>
          </w:p>
        </w:tc>
        <w:tc>
          <w:tcPr>
            <w:tcW w:w="241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Отдел строительства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2030 годы</w:t>
            </w:r>
          </w:p>
        </w:tc>
        <w:tc>
          <w:tcPr>
            <w:tcW w:w="127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I, II, III</w:t>
            </w:r>
          </w:p>
        </w:tc>
        <w:tc>
          <w:tcPr>
            <w:tcW w:w="198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Повышение комплексной безопасности с целью устойчивого социально-экономического развития и роста инвестиционной привлекательности Республики Татарстан</w:t>
            </w:r>
            <w:r w:rsidR="00EF4E7C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2127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 ведется повышение   комплекса автоматизированных информационных систем «Безопасный город»</w:t>
            </w:r>
            <w:r w:rsidR="005F374D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="00EF4E7C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B49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Работа в данном направлении будет продолжена.</w:t>
            </w:r>
          </w:p>
          <w:p w:rsidR="002C34AF" w:rsidRPr="009F735C" w:rsidRDefault="002C34AF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A7166" w:rsidRPr="009F735C" w:rsidRDefault="004A7166" w:rsidP="004A7166">
            <w:pPr>
              <w:keepNext/>
              <w:widowControl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A7166" w:rsidRPr="009F735C" w:rsidRDefault="004A7166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73A0C" w:rsidRPr="009F735C" w:rsidRDefault="00673A0C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863D00" w:rsidRPr="009F735C" w:rsidTr="0034096C">
        <w:trPr>
          <w:trHeight w:val="319"/>
        </w:trPr>
        <w:tc>
          <w:tcPr>
            <w:tcW w:w="198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7.10. Сохранение природного богатства и создание комфортной среды жизнедеятельности</w:t>
            </w:r>
          </w:p>
        </w:tc>
        <w:tc>
          <w:tcPr>
            <w:tcW w:w="2551" w:type="dxa"/>
            <w:shd w:val="clear" w:color="000000" w:fill="FFFFFF"/>
          </w:tcPr>
          <w:p w:rsidR="00863D00" w:rsidRPr="009F735C" w:rsidRDefault="00CB7932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7.10.1. </w:t>
            </w:r>
            <w:r w:rsidR="00863D00"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Обеспечение устойчивого функционирования жилищно-коммунального хозяйства</w:t>
            </w:r>
          </w:p>
        </w:tc>
        <w:tc>
          <w:tcPr>
            <w:tcW w:w="198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без включения в государственную программу</w:t>
            </w:r>
          </w:p>
        </w:tc>
        <w:tc>
          <w:tcPr>
            <w:tcW w:w="241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Отдел строительства и ЖКХ Исполнительного комитета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2027 годы</w:t>
            </w:r>
          </w:p>
        </w:tc>
        <w:tc>
          <w:tcPr>
            <w:tcW w:w="127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198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Участие в Республиканской программе «Чистая вода».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>Установка сооружений водоподготовки.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>Использование средств самообложения населения.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>Достижение высокого качества очистки сточных вод.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>Уменьшение жесткости и других химических свойств воды.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>Обеспечение бесперебойного водоснабжения на 100%.</w:t>
            </w:r>
          </w:p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</w:tcPr>
          <w:p w:rsidR="00863D00" w:rsidRDefault="00863D00" w:rsidP="00427156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Районом ежегодного ведется работа по включению объектов в программу «Чистая вода», благодаря которой почти в 10 населенных пунктах появилась возможность использования питьевой воды</w:t>
            </w:r>
            <w:r w:rsidR="006B74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6B74BE" w:rsidRPr="009F735C" w:rsidRDefault="006B74BE" w:rsidP="006B74BE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Работа по о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беспечени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ю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устойчивого функционирования жилищно-коммунального хозяйства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 xml:space="preserve"> будет продолжена.</w:t>
            </w:r>
          </w:p>
        </w:tc>
      </w:tr>
      <w:tr w:rsidR="00863D00" w:rsidRPr="009F735C" w:rsidTr="0034096C">
        <w:trPr>
          <w:trHeight w:val="337"/>
        </w:trPr>
        <w:tc>
          <w:tcPr>
            <w:tcW w:w="1980" w:type="dxa"/>
            <w:shd w:val="clear" w:color="000000" w:fill="FFFFFF"/>
            <w:hideMark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 Стимулирова</w:t>
            </w:r>
          </w:p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ние субъектов предпринимательства к расширению рыночной доли и повышению эффективности бизнеса</w:t>
            </w:r>
          </w:p>
        </w:tc>
        <w:tc>
          <w:tcPr>
            <w:tcW w:w="2551" w:type="dxa"/>
            <w:shd w:val="clear" w:color="000000" w:fill="FFFFFF"/>
            <w:hideMark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8.1. Обеспечение благоприятных условий осуществления деятельности самозанятыми гражданами</w:t>
            </w:r>
          </w:p>
        </w:tc>
        <w:tc>
          <w:tcPr>
            <w:tcW w:w="1985" w:type="dxa"/>
            <w:shd w:val="clear" w:color="000000" w:fill="FFFFFF"/>
          </w:tcPr>
          <w:p w:rsidR="00863D00" w:rsidRPr="009F735C" w:rsidRDefault="00CB7932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благоприят</w:t>
            </w:r>
            <w:r w:rsidR="00863D00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ных условий осуществле-ния деятельности самозанятыми гражданами</w:t>
            </w:r>
          </w:p>
        </w:tc>
        <w:tc>
          <w:tcPr>
            <w:tcW w:w="2410" w:type="dxa"/>
            <w:shd w:val="clear" w:color="000000" w:fill="FFFFFF"/>
            <w:hideMark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Исполнительный комитет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  <w:hideMark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2027 годы</w:t>
            </w:r>
          </w:p>
        </w:tc>
        <w:tc>
          <w:tcPr>
            <w:tcW w:w="127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198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Увеличение доли самозанятых граждан, лиц, зафиксировавших свой статус в качестве плательщиков налогового режима «Налог на профессиональ-ный доход», по отношению к сектору неформальной занятости.</w:t>
            </w:r>
          </w:p>
        </w:tc>
        <w:tc>
          <w:tcPr>
            <w:tcW w:w="2127" w:type="dxa"/>
            <w:shd w:val="clear" w:color="000000" w:fill="FFFFFF"/>
          </w:tcPr>
          <w:p w:rsidR="00863D00" w:rsidRPr="009F735C" w:rsidRDefault="00863D00" w:rsidP="006B3864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В 2022 году количество зарегистрировавших свой статус в качестве плательщиков нал</w:t>
            </w:r>
            <w:r w:rsidR="005C2691" w:rsidRPr="009F735C">
              <w:rPr>
                <w:rFonts w:ascii="Times New Roman" w:hAnsi="Times New Roman" w:cs="Times New Roman"/>
                <w:sz w:val="22"/>
                <w:szCs w:val="22"/>
              </w:rPr>
              <w:t>огового режима «Налог на профес</w:t>
            </w: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сиональный доход» составило  3579 человек (рост на 49% по сравнению с прошлым годом), </w:t>
            </w:r>
            <w:r w:rsidR="00BA053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абота по </w:t>
            </w:r>
            <w:r w:rsidR="006B3864">
              <w:t xml:space="preserve"> </w:t>
            </w:r>
            <w:r w:rsidR="006B3864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6B3864" w:rsidRPr="006B3864">
              <w:rPr>
                <w:rFonts w:ascii="Times New Roman" w:hAnsi="Times New Roman" w:cs="Times New Roman"/>
                <w:sz w:val="22"/>
                <w:szCs w:val="22"/>
              </w:rPr>
              <w:t>беспечени</w:t>
            </w:r>
            <w:r w:rsidR="006B3864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="006B3864" w:rsidRPr="006B3864">
              <w:rPr>
                <w:rFonts w:ascii="Times New Roman" w:hAnsi="Times New Roman" w:cs="Times New Roman"/>
                <w:sz w:val="22"/>
                <w:szCs w:val="22"/>
              </w:rPr>
              <w:t xml:space="preserve"> благоприятных условий осуществления деятельности самозаняты</w:t>
            </w:r>
            <w:r w:rsidR="006B3864">
              <w:rPr>
                <w:rFonts w:ascii="Times New Roman" w:hAnsi="Times New Roman" w:cs="Times New Roman"/>
                <w:sz w:val="22"/>
                <w:szCs w:val="22"/>
              </w:rPr>
              <w:t xml:space="preserve">х граждан </w:t>
            </w:r>
            <w:r w:rsidR="00BA053A">
              <w:rPr>
                <w:rFonts w:ascii="Times New Roman" w:hAnsi="Times New Roman" w:cs="Times New Roman"/>
                <w:sz w:val="22"/>
                <w:szCs w:val="22"/>
              </w:rPr>
              <w:t>будет продолжена.</w:t>
            </w:r>
          </w:p>
        </w:tc>
      </w:tr>
      <w:tr w:rsidR="00863D00" w:rsidRPr="009F735C" w:rsidTr="000B7FA7">
        <w:trPr>
          <w:trHeight w:val="6942"/>
        </w:trPr>
        <w:tc>
          <w:tcPr>
            <w:tcW w:w="198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8.2. Встреча предпринимателей района по проблемам и актуальным вопросам развития предпринимательства  </w:t>
            </w:r>
          </w:p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Обеспечение благоприятных условий ведения бизнеса в районе</w:t>
            </w:r>
          </w:p>
        </w:tc>
        <w:tc>
          <w:tcPr>
            <w:tcW w:w="241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Исполнительный комитет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2027 годы</w:t>
            </w:r>
          </w:p>
        </w:tc>
        <w:tc>
          <w:tcPr>
            <w:tcW w:w="127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II</w:t>
            </w:r>
          </w:p>
        </w:tc>
        <w:tc>
          <w:tcPr>
            <w:tcW w:w="198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Увеличение доли предпринимателей, привлекательность района для ведения бизнеса.</w:t>
            </w:r>
          </w:p>
        </w:tc>
        <w:tc>
          <w:tcPr>
            <w:tcW w:w="2127" w:type="dxa"/>
            <w:shd w:val="clear" w:color="000000" w:fill="FFFFFF"/>
          </w:tcPr>
          <w:p w:rsidR="00BC2845" w:rsidRDefault="00863D00" w:rsidP="00BC2845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районе</w:t>
            </w:r>
            <w:r w:rsidR="004F4A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имеются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благоприятные условия </w:t>
            </w:r>
            <w:r w:rsidR="0049202D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для ведения предпринимательской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деятельности ,что обусловлено </w:t>
            </w:r>
            <w:r w:rsidR="00427156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т.ч.</w:t>
            </w:r>
            <w:r w:rsidR="005C2691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выгодным транспортн</w:t>
            </w:r>
            <w:r w:rsidR="00427156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о- географическим положением</w:t>
            </w:r>
            <w:r w:rsidR="004F4A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района.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итогам 2022 года в районе 1588 индивидуальных предпринимателей, 749 – субъектов малого и среднего предпринимательства,</w:t>
            </w:r>
            <w:r w:rsidR="005C2691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11 178 человек  занятых в экономике (117% к прошлому году)</w:t>
            </w:r>
            <w:r w:rsidR="004F4A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Регулярно  проводятся встречи </w:t>
            </w:r>
            <w:r w:rsidR="004F4A43">
              <w:t xml:space="preserve"> </w:t>
            </w:r>
            <w:r w:rsidR="004F4A43" w:rsidRPr="004F4A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предпринимателей района по проблемам и актуальным вопрос</w:t>
            </w:r>
            <w:r w:rsidR="004F4A4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ам развития предпринимательства. На мероприятия приглашаются представители министерств и ведомств</w:t>
            </w:r>
            <w:r w:rsidR="00BC28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республики, предоставляется информация о мерах государственной поддержки предпринимательства, оказывается юридеская консультация в рамках встреч «Бизнес и власть». </w:t>
            </w:r>
          </w:p>
          <w:p w:rsidR="00BC2845" w:rsidRPr="00BC2845" w:rsidRDefault="00BC2845" w:rsidP="00BC2845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28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 декабря 2022 года на территории производственно - складского комплекса Торговой компании ООО «Айсберг»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была организована встреча </w:t>
            </w:r>
            <w:r w:rsidRPr="00BC28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Президента Республики Татарстан Р.Н.Минниханова с предпринимателями. Модератором выездного мероприятия выступил Уполномоченный по защите прав предпринимателей в Татарстане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Ф.С.</w:t>
            </w:r>
            <w:r w:rsidRPr="00BC28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Абдулганиев. По итогам встречи даны поручения министерствам и ведомствам - рассмотреть детально все обозначенные вопросы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предпринимателей</w:t>
            </w:r>
            <w:r w:rsidRPr="00BC28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:rsidR="00BC2845" w:rsidRPr="00BC2845" w:rsidRDefault="00BC2845" w:rsidP="00BC2845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C28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Информация о ресурсах РМЦ также доводится на еженедельных планерках и путем рассылки на электронные адреса предпринимателей и группы в WhatsApp: «МСП Высокая Гора».</w:t>
            </w:r>
          </w:p>
          <w:p w:rsidR="00BC2845" w:rsidRDefault="00BC2845" w:rsidP="00BC2845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в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стреч предпринимателей района по проблемам и актуальным вопросам развития предпринимательства 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будет продолжено.</w:t>
            </w:r>
          </w:p>
          <w:p w:rsidR="00BC2845" w:rsidRDefault="00BC2845" w:rsidP="00BC2845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BC2845" w:rsidRDefault="00BC2845" w:rsidP="00BC2845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863D00" w:rsidRPr="009F735C" w:rsidRDefault="004F4A43" w:rsidP="00BC2845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863D00" w:rsidRPr="009F735C" w:rsidTr="0034096C">
        <w:trPr>
          <w:trHeight w:val="20"/>
        </w:trPr>
        <w:tc>
          <w:tcPr>
            <w:tcW w:w="1980" w:type="dxa"/>
            <w:shd w:val="clear" w:color="000000" w:fill="FFFFFF"/>
            <w:hideMark/>
          </w:tcPr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8.1. Мониторинг</w:t>
            </w:r>
          </w:p>
          <w:p w:rsidR="00863D00" w:rsidRPr="009F735C" w:rsidRDefault="00863D00" w:rsidP="00863D00">
            <w:pPr>
              <w:keepNext/>
              <w:widowControl/>
              <w:spacing w:line="228" w:lineRule="auto"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качества и доступности государственных и муниципальных услуг</w:t>
            </w:r>
          </w:p>
        </w:tc>
        <w:tc>
          <w:tcPr>
            <w:tcW w:w="2551" w:type="dxa"/>
            <w:shd w:val="clear" w:color="000000" w:fill="FFFFFF"/>
            <w:hideMark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8.1.1. Проведение социологических исследований среди граждан, представителей бизнес-сообщества по вопросу удовлетворенности получением государственных и муниципальных услуг, в том числе связанных с разрешительными полномочиями</w:t>
            </w:r>
          </w:p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государственная программа «Экономическое развитие и инновационная экономика Республики Татарстан на 2014 – 2024 годы»</w:t>
            </w:r>
          </w:p>
        </w:tc>
        <w:tc>
          <w:tcPr>
            <w:tcW w:w="2410" w:type="dxa"/>
            <w:shd w:val="clear" w:color="000000" w:fill="FFFFFF"/>
            <w:hideMark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Исполнительный комитет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  <w:hideMark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2024 годы</w:t>
            </w:r>
          </w:p>
        </w:tc>
        <w:tc>
          <w:tcPr>
            <w:tcW w:w="127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</w:p>
        </w:tc>
        <w:tc>
          <w:tcPr>
            <w:tcW w:w="198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Обеспечение уровня удовлетворенности населения Республики Татарстан качеством предоставления государственных и муниципальных услуг, в том числе связанных с разрешительными полномочиями </w:t>
            </w:r>
          </w:p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7" w:type="dxa"/>
            <w:shd w:val="clear" w:color="000000" w:fill="FFFFFF"/>
          </w:tcPr>
          <w:p w:rsidR="002602FC" w:rsidRPr="009F735C" w:rsidRDefault="005F27AF" w:rsidP="002602FC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 xml:space="preserve">Годовой показатель </w:t>
            </w:r>
            <w:r w:rsidR="002602FC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«Обеспечение уровня удовлетворенности населения РТ качеством предоставления государственных и муниципальных услуг, в том числе связанных с разрешительными полномочиями»  </w:t>
            </w:r>
          </w:p>
          <w:p w:rsidR="00863D00" w:rsidRPr="009F735C" w:rsidRDefault="005F27AF" w:rsidP="005F27A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sz w:val="22"/>
                <w:szCs w:val="22"/>
              </w:rPr>
              <w:t>выполнен на 100%</w:t>
            </w:r>
          </w:p>
          <w:p w:rsidR="00C25796" w:rsidRPr="009F735C" w:rsidRDefault="00C25796" w:rsidP="005F27A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5796" w:rsidRDefault="00F924F2" w:rsidP="00F924F2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Активно информируется в социальных сетях района п</w:t>
            </w:r>
            <w:r w:rsidR="00C25796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роведение социологических исследований 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C25796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среди граждан, представителей бизнес-сообщества по вопросу удовлетворенности получением государственных и муниципальных услуг, в том числе связанных с разрешительными полномочиями.</w:t>
            </w:r>
          </w:p>
          <w:p w:rsidR="000B7FA7" w:rsidRPr="009F735C" w:rsidRDefault="000B7FA7" w:rsidP="000B7FA7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B7FA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Проведение социологических исследований среди граждан, представителей бизнес-сообщества по вопросу удовлетворенности получением государственных и муниципальных услуг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будет продолжено.</w:t>
            </w:r>
          </w:p>
        </w:tc>
      </w:tr>
      <w:tr w:rsidR="00863D00" w:rsidRPr="009F735C" w:rsidTr="0034096C">
        <w:trPr>
          <w:trHeight w:val="432"/>
        </w:trPr>
        <w:tc>
          <w:tcPr>
            <w:tcW w:w="198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shd w:val="clear" w:color="000000" w:fill="FFFFFF"/>
          </w:tcPr>
          <w:p w:rsidR="00863D00" w:rsidRPr="009F735C" w:rsidRDefault="00023BF8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8.1.2. </w:t>
            </w:r>
            <w:r w:rsidR="00863D00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Организация перевода государственных, муниципальных и социально - значимых услуг в электронный вид, межведомственного электронного взаимодействия, создание информационной инфраструктуры многофункционального центра предоставления государственных и муниципальных услуг</w:t>
            </w:r>
          </w:p>
        </w:tc>
        <w:tc>
          <w:tcPr>
            <w:tcW w:w="198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государственная программа «Развитие информационных и коммуникационных технологий в Республике Татарстан «Открытый Татарстан» на 2014 – 2021 годы», новая государственная программа «Развитие информационных и коммуникационных технологий в Республике Татарстан («Открытый Татарстан»)»</w:t>
            </w:r>
          </w:p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Исполнительный комитет Высокогорского муниципального района</w:t>
            </w:r>
          </w:p>
        </w:tc>
        <w:tc>
          <w:tcPr>
            <w:tcW w:w="113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 – 2030 годы</w:t>
            </w:r>
          </w:p>
        </w:tc>
        <w:tc>
          <w:tcPr>
            <w:tcW w:w="127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I, II, III</w:t>
            </w:r>
          </w:p>
        </w:tc>
        <w:tc>
          <w:tcPr>
            <w:tcW w:w="198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Увеличение количества оказанных государственных, муниципальных и социально значимых услуг в электронном виде по отношению к аналогичному периоду прошлого года на          15 процентов </w:t>
            </w:r>
          </w:p>
        </w:tc>
        <w:tc>
          <w:tcPr>
            <w:tcW w:w="2127" w:type="dxa"/>
            <w:shd w:val="clear" w:color="000000" w:fill="FFFFFF"/>
          </w:tcPr>
          <w:p w:rsidR="00863D00" w:rsidRPr="009F735C" w:rsidRDefault="002964A2" w:rsidP="002964A2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Количества оказанных государственных, муниципальных и социально значимых услуг в электронном виде по отношению к аналогичному периоду прошлого года у</w:t>
            </w:r>
            <w:r w:rsidR="00EE0456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велич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илось</w:t>
            </w:r>
            <w:r w:rsidR="00FF1C06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E0456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50%.</w:t>
            </w:r>
          </w:p>
          <w:p w:rsidR="003D69B4" w:rsidRPr="009F735C" w:rsidRDefault="00462511" w:rsidP="00462511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Работа по организации п</w:t>
            </w:r>
            <w:r w:rsidR="003D69B4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еревод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="003D69B4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государственных, муниципальных и социально - значимых услуг в электронный вид, межведомственного электронного взаимодействия, создание информационной инфраструктуры многофункционального центра предоставления государственных и муниципальных услуг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будет продолжена.</w:t>
            </w:r>
            <w:r w:rsidR="003D69B4"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863D00" w:rsidRPr="00DD14D1" w:rsidTr="0034096C">
        <w:trPr>
          <w:trHeight w:val="432"/>
        </w:trPr>
        <w:tc>
          <w:tcPr>
            <w:tcW w:w="1980" w:type="dxa"/>
            <w:shd w:val="clear" w:color="000000" w:fill="FFFFFF"/>
          </w:tcPr>
          <w:p w:rsidR="00863D00" w:rsidRPr="009F735C" w:rsidRDefault="00863D00" w:rsidP="00A6081C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8.2. Формирование привлекательных условий для ведения экономической и сельскохозяйственной деятельности</w:t>
            </w:r>
          </w:p>
        </w:tc>
        <w:tc>
          <w:tcPr>
            <w:tcW w:w="2551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8.2.1. Развитие сельского хозяйства и промышленного производства</w:t>
            </w:r>
          </w:p>
        </w:tc>
        <w:tc>
          <w:tcPr>
            <w:tcW w:w="198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</w:rPr>
              <w:t>без включения в государственную программу</w:t>
            </w:r>
          </w:p>
        </w:tc>
        <w:tc>
          <w:tcPr>
            <w:tcW w:w="2410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Исполнительный комитет Высокогорского муниципального района,  Управление сельского хозяйства и продовольствия в Высокогорском муниципальном районе Республики Татарстан</w:t>
            </w:r>
          </w:p>
        </w:tc>
        <w:tc>
          <w:tcPr>
            <w:tcW w:w="113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2022-2027 годы</w:t>
            </w:r>
          </w:p>
        </w:tc>
        <w:tc>
          <w:tcPr>
            <w:tcW w:w="1275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</w:t>
            </w:r>
            <w:r w:rsidRPr="009F735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II</w:t>
            </w:r>
          </w:p>
        </w:tc>
        <w:tc>
          <w:tcPr>
            <w:tcW w:w="1984" w:type="dxa"/>
            <w:shd w:val="clear" w:color="000000" w:fill="FFFFFF"/>
          </w:tcPr>
          <w:p w:rsidR="00863D00" w:rsidRPr="009F735C" w:rsidRDefault="00863D00" w:rsidP="00863D00">
            <w:pPr>
              <w:keepNext/>
              <w:widowControl/>
              <w:ind w:left="34"/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t>Обеспечение минимальной энергообеспеченности на 100 га пашни до 180 лошадиных сил.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>Создание оборотных средств на сезонные работы в пределах 2500 тыс. руб на 1 га посевов.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>Доведение объема внесения минеральных удобрений до 75 кг д.в. на 1 га пашни.</w:t>
            </w:r>
            <w:r w:rsidRPr="009F735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  <w:br/>
              <w:t>Обновление оборудования по обработке почвы, изношенность которых составляет до 70 %.</w:t>
            </w:r>
          </w:p>
        </w:tc>
        <w:tc>
          <w:tcPr>
            <w:tcW w:w="2127" w:type="dxa"/>
            <w:shd w:val="clear" w:color="000000" w:fill="FFFFFF"/>
          </w:tcPr>
          <w:p w:rsidR="0030792E" w:rsidRPr="009F735C" w:rsidRDefault="0030792E" w:rsidP="0030792E">
            <w:pPr>
              <w:pStyle w:val="xmso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F735C">
              <w:rPr>
                <w:rFonts w:eastAsia="Calibri"/>
                <w:sz w:val="22"/>
                <w:szCs w:val="22"/>
                <w:lang w:eastAsia="en-US"/>
              </w:rPr>
              <w:t xml:space="preserve">Валовый объем продукции предприятий и организаций Высокогорского района в 2022г. составил около 31 млрд. рублей (21 год — 26,9). Оборот малых и средних предприятий </w:t>
            </w:r>
            <w:r w:rsidR="00FE0F27" w:rsidRPr="009F735C">
              <w:rPr>
                <w:rFonts w:eastAsia="Calibri"/>
                <w:sz w:val="22"/>
                <w:szCs w:val="22"/>
                <w:lang w:eastAsia="en-US"/>
              </w:rPr>
              <w:t>:21,2 млрд. руб. (</w:t>
            </w:r>
            <w:r w:rsidRPr="009F735C">
              <w:rPr>
                <w:rFonts w:eastAsia="Calibri"/>
                <w:sz w:val="22"/>
                <w:szCs w:val="22"/>
                <w:lang w:eastAsia="en-US"/>
              </w:rPr>
              <w:t xml:space="preserve">на 2% больше, чем в 2021 </w:t>
            </w:r>
            <w:r w:rsidR="00FE0F27" w:rsidRPr="009F735C">
              <w:rPr>
                <w:rFonts w:eastAsia="Calibri"/>
                <w:sz w:val="22"/>
                <w:szCs w:val="22"/>
                <w:lang w:eastAsia="en-US"/>
              </w:rPr>
              <w:t>г.)</w:t>
            </w:r>
            <w:r w:rsidRPr="009F735C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:rsidR="0030792E" w:rsidRPr="009F735C" w:rsidRDefault="0030792E" w:rsidP="0030792E">
            <w:pPr>
              <w:pStyle w:val="xmso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F735C">
              <w:rPr>
                <w:rFonts w:eastAsia="Calibri"/>
                <w:sz w:val="22"/>
                <w:szCs w:val="22"/>
                <w:lang w:eastAsia="en-US"/>
              </w:rPr>
              <w:t xml:space="preserve">Объем отгруженных товаров собственного производства, выполненных работ и услуг по всем видам экономической деятельности в 2022 году составил 19,5 млрд. руб., </w:t>
            </w:r>
            <w:r w:rsidR="00FE0F27" w:rsidRPr="009F735C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9F735C">
              <w:rPr>
                <w:rFonts w:eastAsia="Calibri"/>
                <w:sz w:val="22"/>
                <w:szCs w:val="22"/>
                <w:lang w:eastAsia="en-US"/>
              </w:rPr>
              <w:t>на 17,5 % больше, чем в 2021</w:t>
            </w:r>
            <w:r w:rsidR="00FE0F27" w:rsidRPr="009F735C">
              <w:rPr>
                <w:rFonts w:eastAsia="Calibri"/>
                <w:sz w:val="22"/>
                <w:szCs w:val="22"/>
                <w:lang w:eastAsia="en-US"/>
              </w:rPr>
              <w:t>г.)</w:t>
            </w:r>
            <w:r w:rsidRPr="009F735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30792E" w:rsidRPr="009F735C" w:rsidRDefault="0030792E" w:rsidP="0030792E">
            <w:pPr>
              <w:pStyle w:val="xmso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F735C">
              <w:rPr>
                <w:rFonts w:eastAsia="Calibri"/>
                <w:sz w:val="22"/>
                <w:szCs w:val="22"/>
                <w:lang w:eastAsia="en-US"/>
              </w:rPr>
              <w:t xml:space="preserve">По итогам 2022 </w:t>
            </w:r>
            <w:r w:rsidR="00FE0F27" w:rsidRPr="009F735C">
              <w:rPr>
                <w:rFonts w:eastAsia="Calibri"/>
                <w:sz w:val="22"/>
                <w:szCs w:val="22"/>
                <w:lang w:eastAsia="en-US"/>
              </w:rPr>
              <w:t>г.</w:t>
            </w:r>
            <w:r w:rsidRPr="009F735C">
              <w:rPr>
                <w:rFonts w:eastAsia="Calibri"/>
                <w:sz w:val="22"/>
                <w:szCs w:val="22"/>
                <w:lang w:eastAsia="en-US"/>
              </w:rPr>
              <w:t xml:space="preserve"> индекс промышленного производства составил 107,4% (21 год — 102,5%).</w:t>
            </w:r>
          </w:p>
          <w:p w:rsidR="00776BBF" w:rsidRPr="009F735C" w:rsidRDefault="00776BBF" w:rsidP="00776BBF">
            <w:pPr>
              <w:pStyle w:val="xmso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F735C">
              <w:rPr>
                <w:rFonts w:eastAsia="Calibri"/>
                <w:sz w:val="22"/>
                <w:szCs w:val="22"/>
                <w:lang w:eastAsia="en-US"/>
              </w:rPr>
              <w:t>В районе ведется планомерная работа по информированию населения о возможности создать новые ниши в районе и в Республике в целом. С целью улучшения предпринимательского климата и выявления проблемных вопросов в течение года регулярно проводились встречи с бизнес сообществом района. В ходе данных встреч были предоставлены действующие меры поддержки для субъектов малого и среднего предпринимательства, рассмотрены актуальные вопросы налогового законодательства, возможности реализации продукции через Республиканский маркетинговый центр и Маркетплейсы. Также была оказана юридическая консультация предпринимателям и представлены обучающие модули по налоговым рискам и другим темам.</w:t>
            </w:r>
          </w:p>
          <w:p w:rsidR="00776BBF" w:rsidRPr="009F735C" w:rsidRDefault="00776BBF" w:rsidP="00776BBF">
            <w:pPr>
              <w:pStyle w:val="xmso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F735C">
              <w:rPr>
                <w:rFonts w:eastAsia="Calibri"/>
                <w:sz w:val="22"/>
                <w:szCs w:val="22"/>
                <w:lang w:eastAsia="en-US"/>
              </w:rPr>
              <w:t xml:space="preserve">6 декабря 2022 года Раис Республики Татарстан Рустам Нургалиевич Минниханов провел встречу с представителями предпринимательского сообщества Республики на территории Высокогорского района. Встреча состоялась в ПСК ТК «Айсберг». </w:t>
            </w:r>
          </w:p>
          <w:p w:rsidR="00461F2D" w:rsidRPr="009F735C" w:rsidRDefault="00776BBF" w:rsidP="00776BBF">
            <w:pPr>
              <w:pStyle w:val="xmso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F735C">
              <w:rPr>
                <w:rFonts w:eastAsia="Calibri"/>
                <w:sz w:val="22"/>
                <w:szCs w:val="22"/>
                <w:lang w:eastAsia="en-US"/>
              </w:rPr>
              <w:t>Также , в</w:t>
            </w:r>
            <w:r w:rsidR="00461F2D" w:rsidRPr="009F735C">
              <w:rPr>
                <w:rFonts w:eastAsia="Calibri"/>
                <w:sz w:val="22"/>
                <w:szCs w:val="22"/>
                <w:lang w:eastAsia="en-US"/>
              </w:rPr>
              <w:t xml:space="preserve"> целях мотивации и поощрения работников, занятых на уборке зерновых культур урожая 2022 года Исполнительным комитетом района совместно с Управлением сельского хозяйства и продовольствия района были разработаны меры материального стимулирования. Так на подборе, обмолоте и прямом комбайнировании в зависимости от марки комбайна при выполнении нормы выплачивалось денежное поощрение в размере 3000 рублей. На косовице премии составляли 2000 рублей за каждое выполнение нормы. Водители, занятые на перевозке урожая премировались два раза в неделю за максимальное количество тонно километров по категориям от комбайна до зернотока и от зернотока до ХПП, размер премии составил 2000 рублей.</w:t>
            </w:r>
          </w:p>
          <w:p w:rsidR="00461F2D" w:rsidRPr="009F735C" w:rsidRDefault="00776BBF" w:rsidP="00461F2D">
            <w:pPr>
              <w:pStyle w:val="xmso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F735C">
              <w:rPr>
                <w:rFonts w:eastAsia="Calibri"/>
                <w:sz w:val="22"/>
                <w:szCs w:val="22"/>
                <w:lang w:eastAsia="en-US"/>
              </w:rPr>
              <w:t xml:space="preserve">Всего </w:t>
            </w:r>
            <w:r w:rsidR="00461F2D" w:rsidRPr="009F735C">
              <w:rPr>
                <w:rFonts w:eastAsia="Calibri"/>
                <w:sz w:val="22"/>
                <w:szCs w:val="22"/>
                <w:lang w:eastAsia="en-US"/>
              </w:rPr>
              <w:t>за период уборочных работ выдано сертификатов на общую сумму 742 тысячи рублей.</w:t>
            </w:r>
          </w:p>
          <w:p w:rsidR="008446D8" w:rsidRPr="009F735C" w:rsidRDefault="008446D8" w:rsidP="008446D8">
            <w:pPr>
              <w:pStyle w:val="xmso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F735C">
              <w:rPr>
                <w:rFonts w:eastAsia="Calibri"/>
                <w:sz w:val="22"/>
                <w:szCs w:val="22"/>
                <w:lang w:eastAsia="en-US"/>
              </w:rPr>
              <w:t>Валовая продукция аграрного комплекса района по итогам года составила 2 млрд.909 млн.рублей.</w:t>
            </w:r>
          </w:p>
          <w:p w:rsidR="008446D8" w:rsidRPr="009F735C" w:rsidRDefault="008446D8" w:rsidP="008446D8">
            <w:pPr>
              <w:pStyle w:val="xmso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F735C">
              <w:rPr>
                <w:rFonts w:eastAsia="Calibri"/>
                <w:sz w:val="22"/>
                <w:szCs w:val="22"/>
                <w:lang w:eastAsia="en-US"/>
              </w:rPr>
              <w:t>В 2022 году было увеличение поголовья КРС на 626 голов по сравнению с 2021 годом.</w:t>
            </w:r>
          </w:p>
          <w:p w:rsidR="008446D8" w:rsidRPr="009F735C" w:rsidRDefault="008446D8" w:rsidP="008446D8">
            <w:pPr>
              <w:pStyle w:val="xmso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F735C">
              <w:rPr>
                <w:rFonts w:eastAsia="Calibri"/>
                <w:sz w:val="22"/>
                <w:szCs w:val="22"/>
                <w:lang w:eastAsia="en-US"/>
              </w:rPr>
              <w:t>Намолочено более    96 тыс.тонн  зерновых (33 ц/га);</w:t>
            </w:r>
          </w:p>
          <w:p w:rsidR="00EC4CA7" w:rsidRPr="009F735C" w:rsidRDefault="00EC4CA7" w:rsidP="00EC4CA7">
            <w:pPr>
              <w:pStyle w:val="xmso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F735C">
              <w:rPr>
                <w:rFonts w:eastAsia="Calibri"/>
                <w:sz w:val="22"/>
                <w:szCs w:val="22"/>
                <w:lang w:eastAsia="en-US"/>
              </w:rPr>
              <w:t>В 2022 году хозяйства района реализовали следующие инвестиционные проекты:</w:t>
            </w:r>
          </w:p>
          <w:p w:rsidR="00EC4CA7" w:rsidRPr="009F735C" w:rsidRDefault="00EC4CA7" w:rsidP="00EC4CA7">
            <w:pPr>
              <w:pStyle w:val="xmso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F735C">
              <w:rPr>
                <w:rFonts w:eastAsia="Calibri"/>
                <w:sz w:val="22"/>
                <w:szCs w:val="22"/>
                <w:lang w:eastAsia="en-US"/>
              </w:rPr>
              <w:t>ЗАО Бирюли – строительство шедов зверофермы, капитальный ремонт зверокухни и котельной зверокухни.</w:t>
            </w:r>
          </w:p>
          <w:p w:rsidR="00EC4CA7" w:rsidRPr="009F735C" w:rsidRDefault="00EC4CA7" w:rsidP="00EC4CA7">
            <w:pPr>
              <w:pStyle w:val="xmso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F735C">
              <w:rPr>
                <w:rFonts w:eastAsia="Calibri"/>
                <w:sz w:val="22"/>
                <w:szCs w:val="22"/>
                <w:lang w:eastAsia="en-US"/>
              </w:rPr>
              <w:t>ООО АФ Татарстан – покупка племенных нетелей (закуплено 75 голов), модернизация доильного молочного блока для молочного комплекса, строительство коровника на 390 голов.</w:t>
            </w:r>
          </w:p>
          <w:p w:rsidR="00EC4CA7" w:rsidRPr="009F735C" w:rsidRDefault="00EC4CA7" w:rsidP="00EC4CA7">
            <w:pPr>
              <w:pStyle w:val="xmso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F735C">
              <w:rPr>
                <w:rFonts w:eastAsia="Calibri"/>
                <w:sz w:val="22"/>
                <w:szCs w:val="22"/>
                <w:lang w:eastAsia="en-US"/>
              </w:rPr>
              <w:t>ООО Битаман – строительство коровника на 200 голов.</w:t>
            </w:r>
          </w:p>
          <w:p w:rsidR="00456A8D" w:rsidRPr="009F735C" w:rsidRDefault="00EC4CA7" w:rsidP="00EC4CA7">
            <w:pPr>
              <w:pStyle w:val="xmso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F735C">
              <w:rPr>
                <w:rFonts w:eastAsia="Calibri"/>
                <w:sz w:val="22"/>
                <w:szCs w:val="22"/>
                <w:lang w:eastAsia="en-US"/>
              </w:rPr>
              <w:t>АО ГПП Элита – капитальный ремонт здания карантина, покупка племенных быков (закуплено 9 голов).</w:t>
            </w:r>
          </w:p>
          <w:p w:rsidR="004A472D" w:rsidRPr="009F735C" w:rsidRDefault="00EC4CA7" w:rsidP="00456A8D">
            <w:pPr>
              <w:pStyle w:val="xmso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F735C">
              <w:rPr>
                <w:rFonts w:eastAsia="Calibri"/>
                <w:sz w:val="22"/>
                <w:szCs w:val="22"/>
                <w:lang w:eastAsia="en-US"/>
              </w:rPr>
              <w:t>Всего на 2022 год  инвестировано более чем 320 миллионов рублей.</w:t>
            </w:r>
            <w:r w:rsidR="00456A8D" w:rsidRPr="009F735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863D00" w:rsidRPr="009F735C" w:rsidRDefault="00863D00" w:rsidP="004A472D">
            <w:pPr>
              <w:pStyle w:val="xmsonormal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735C">
              <w:rPr>
                <w:rFonts w:eastAsia="Calibri"/>
                <w:sz w:val="22"/>
                <w:szCs w:val="22"/>
                <w:lang w:eastAsia="en-US"/>
              </w:rPr>
              <w:t>В 2022 году минимальн</w:t>
            </w:r>
            <w:r w:rsidR="006D4611" w:rsidRPr="009F735C">
              <w:rPr>
                <w:rFonts w:eastAsia="Calibri"/>
                <w:sz w:val="22"/>
                <w:szCs w:val="22"/>
                <w:lang w:eastAsia="en-US"/>
              </w:rPr>
              <w:t>ая</w:t>
            </w:r>
            <w:r w:rsidRPr="009F735C">
              <w:rPr>
                <w:rFonts w:eastAsia="Calibri"/>
                <w:sz w:val="22"/>
                <w:szCs w:val="22"/>
                <w:lang w:eastAsia="en-US"/>
              </w:rPr>
              <w:t xml:space="preserve"> энергообеспеченност</w:t>
            </w:r>
            <w:r w:rsidR="006D4611" w:rsidRPr="009F735C">
              <w:rPr>
                <w:rFonts w:eastAsia="Calibri"/>
                <w:sz w:val="22"/>
                <w:szCs w:val="22"/>
                <w:lang w:eastAsia="en-US"/>
              </w:rPr>
              <w:t>ь</w:t>
            </w:r>
            <w:r w:rsidRPr="009F735C">
              <w:rPr>
                <w:rFonts w:eastAsia="Calibri"/>
                <w:sz w:val="22"/>
                <w:szCs w:val="22"/>
                <w:lang w:eastAsia="en-US"/>
              </w:rPr>
              <w:t xml:space="preserve"> на 100 га пашни составила 173 лошадиных сил.</w:t>
            </w:r>
            <w:r w:rsidRPr="009F735C">
              <w:rPr>
                <w:rFonts w:eastAsia="Calibri"/>
                <w:sz w:val="22"/>
                <w:szCs w:val="22"/>
                <w:lang w:eastAsia="en-US"/>
              </w:rPr>
              <w:br/>
              <w:t>Создано оборотных средств на сезонные работы в пределах 5 600 тыс. руб на 1 га посевов</w:t>
            </w:r>
          </w:p>
          <w:p w:rsidR="007D3AC5" w:rsidRPr="009F735C" w:rsidRDefault="00863D00" w:rsidP="007D3AC5">
            <w:pPr>
              <w:pStyle w:val="xmsonormal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F735C">
              <w:rPr>
                <w:color w:val="000000"/>
                <w:sz w:val="22"/>
                <w:szCs w:val="22"/>
              </w:rPr>
              <w:t>Внеесено минеральных удобрений хозяйствами – более 64,5 кг.д.в., КФХ  - 22 кг.д.в.</w:t>
            </w:r>
            <w:r w:rsidR="007D3AC5" w:rsidRPr="009F735C">
              <w:rPr>
                <w:color w:val="000000"/>
                <w:sz w:val="22"/>
                <w:szCs w:val="22"/>
              </w:rPr>
              <w:t xml:space="preserve"> </w:t>
            </w:r>
          </w:p>
          <w:p w:rsidR="00EC4CA7" w:rsidRPr="009F735C" w:rsidRDefault="00EC4CA7" w:rsidP="007D3AC5">
            <w:pPr>
              <w:pStyle w:val="xmsonormal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F735C">
              <w:rPr>
                <w:color w:val="000000"/>
                <w:sz w:val="22"/>
                <w:szCs w:val="22"/>
                <w:lang w:val="tt-RU"/>
              </w:rPr>
              <w:t>Население активно участвует в республиканских программах поддержки личных подсобных хозяйств. Только в этом году наши жители получили гранты и субсидии на сумму 40,7 миллионов рублей.</w:t>
            </w:r>
          </w:p>
          <w:p w:rsidR="00EC4CA7" w:rsidRPr="009F735C" w:rsidRDefault="00EC4CA7" w:rsidP="007D3AC5">
            <w:pPr>
              <w:pStyle w:val="xmsonormal"/>
              <w:spacing w:before="0" w:beforeAutospacing="0" w:after="0" w:afterAutospacing="0" w:line="252" w:lineRule="atLeast"/>
              <w:jc w:val="both"/>
              <w:rPr>
                <w:color w:val="000000"/>
                <w:sz w:val="22"/>
                <w:szCs w:val="22"/>
              </w:rPr>
            </w:pPr>
            <w:r w:rsidRPr="009F735C">
              <w:rPr>
                <w:color w:val="000000"/>
                <w:sz w:val="22"/>
                <w:szCs w:val="22"/>
              </w:rPr>
              <w:t>По программе «Агростартап» получено 3 гранта на общую сумму 7,5 млн.руб., в том числе: КФХ Шакирзянов Дамир Равилевич 3 млн.руб. на откорм КРС на 50 голов; КФХ Садиков Василь Марселевич 1,5 млн.руб. на выращивание ягодных культур на площади 1,3 га; КФХ Ахметов Адель Азатович 3 млн.руб. на откорм КРС на 50 голов.</w:t>
            </w:r>
          </w:p>
          <w:p w:rsidR="00EC4CA7" w:rsidRPr="009F735C" w:rsidRDefault="00EC4CA7" w:rsidP="007D3AC5">
            <w:pPr>
              <w:pStyle w:val="xmsonormal"/>
              <w:spacing w:before="0" w:beforeAutospacing="0" w:after="0" w:afterAutospacing="0" w:line="252" w:lineRule="atLeast"/>
              <w:jc w:val="both"/>
              <w:rPr>
                <w:color w:val="000000"/>
                <w:sz w:val="22"/>
                <w:szCs w:val="22"/>
              </w:rPr>
            </w:pPr>
            <w:r w:rsidRPr="009F735C">
              <w:rPr>
                <w:color w:val="000000"/>
                <w:sz w:val="22"/>
                <w:szCs w:val="22"/>
              </w:rPr>
              <w:t>По программе «Семейная животноводческая ферма» получен 1 грант на сумму 27,3 млн.руб. КФХ ИП Садикова Зухра Зуфаровна на молочное КРС на 150 голов.</w:t>
            </w:r>
          </w:p>
          <w:p w:rsidR="00EC4CA7" w:rsidRPr="009F735C" w:rsidRDefault="00EC4CA7" w:rsidP="00EC4CA7">
            <w:pPr>
              <w:pStyle w:val="xmsonormal"/>
              <w:spacing w:before="0" w:beforeAutospacing="0" w:after="0" w:afterAutospacing="0" w:line="252" w:lineRule="atLeast"/>
              <w:ind w:firstLine="567"/>
              <w:jc w:val="both"/>
              <w:rPr>
                <w:color w:val="000000"/>
                <w:sz w:val="22"/>
                <w:szCs w:val="22"/>
              </w:rPr>
            </w:pPr>
            <w:r w:rsidRPr="009F735C">
              <w:rPr>
                <w:color w:val="000000"/>
                <w:sz w:val="22"/>
                <w:szCs w:val="22"/>
              </w:rPr>
              <w:t>Жителями района получено субсидий из бюджета РТ всего на сумму 5 млн.989 тыс.руб. из них:</w:t>
            </w:r>
          </w:p>
          <w:p w:rsidR="00EC4CA7" w:rsidRPr="009F735C" w:rsidRDefault="00EC4CA7" w:rsidP="009B2390">
            <w:pPr>
              <w:pStyle w:val="xmsonormal"/>
              <w:spacing w:before="0" w:beforeAutospacing="0" w:after="0" w:afterAutospacing="0" w:line="252" w:lineRule="atLeast"/>
              <w:jc w:val="both"/>
              <w:rPr>
                <w:color w:val="000000"/>
                <w:sz w:val="22"/>
                <w:szCs w:val="22"/>
              </w:rPr>
            </w:pPr>
            <w:r w:rsidRPr="009F735C">
              <w:rPr>
                <w:color w:val="000000"/>
                <w:sz w:val="22"/>
                <w:szCs w:val="22"/>
              </w:rPr>
              <w:t>-на возмещение части затрат на содержание дойных коров, козоматок и козочек старше 1 года 5 млн.689 тыс.руб.</w:t>
            </w:r>
          </w:p>
          <w:p w:rsidR="00EC4CA7" w:rsidRPr="009F735C" w:rsidRDefault="00EC4CA7" w:rsidP="009B2390">
            <w:pPr>
              <w:pStyle w:val="xmsonormal"/>
              <w:spacing w:before="0" w:beforeAutospacing="0" w:after="0" w:afterAutospacing="0" w:line="252" w:lineRule="atLeast"/>
              <w:jc w:val="both"/>
              <w:rPr>
                <w:color w:val="000000"/>
                <w:sz w:val="22"/>
                <w:szCs w:val="22"/>
              </w:rPr>
            </w:pPr>
            <w:r w:rsidRPr="009F735C">
              <w:rPr>
                <w:color w:val="000000"/>
                <w:sz w:val="22"/>
                <w:szCs w:val="22"/>
              </w:rPr>
              <w:t xml:space="preserve">- на возмещение части затрат по строительству мини-ферм молочного направления 300 тыс.руб. </w:t>
            </w:r>
          </w:p>
          <w:p w:rsidR="00DD14D1" w:rsidRPr="009F735C" w:rsidRDefault="00DD14D1" w:rsidP="00DD14D1">
            <w:pPr>
              <w:pStyle w:val="xmsonormal"/>
              <w:spacing w:line="252" w:lineRule="atLeast"/>
              <w:jc w:val="both"/>
              <w:rPr>
                <w:color w:val="000000"/>
                <w:sz w:val="22"/>
                <w:szCs w:val="22"/>
              </w:rPr>
            </w:pPr>
            <w:r w:rsidRPr="009F735C">
              <w:rPr>
                <w:color w:val="000000"/>
                <w:sz w:val="22"/>
                <w:szCs w:val="22"/>
              </w:rPr>
              <w:t>В целях муниципальной поддержки развития с</w:t>
            </w:r>
            <w:r w:rsidR="0030792E" w:rsidRPr="009F735C">
              <w:rPr>
                <w:color w:val="000000"/>
                <w:sz w:val="22"/>
                <w:szCs w:val="22"/>
              </w:rPr>
              <w:t>/х</w:t>
            </w:r>
            <w:r w:rsidRPr="009F735C">
              <w:rPr>
                <w:color w:val="000000"/>
                <w:sz w:val="22"/>
                <w:szCs w:val="22"/>
              </w:rPr>
              <w:t xml:space="preserve"> производства, в </w:t>
            </w:r>
            <w:r w:rsidR="0030792E" w:rsidRPr="009F735C">
              <w:rPr>
                <w:color w:val="000000"/>
                <w:sz w:val="22"/>
                <w:szCs w:val="22"/>
              </w:rPr>
              <w:t>т.ч.</w:t>
            </w:r>
            <w:r w:rsidRPr="009F735C">
              <w:rPr>
                <w:color w:val="000000"/>
                <w:sz w:val="22"/>
                <w:szCs w:val="22"/>
              </w:rPr>
              <w:t xml:space="preserve"> развития личных подсобных хозяйств на территории района, утверждена муниципальная программа  «Развитие личных подсобных хозяйств на территории Высокогорского муниципального района на 2022-2024гг».</w:t>
            </w:r>
            <w:r w:rsidR="0030792E" w:rsidRPr="009F735C">
              <w:rPr>
                <w:color w:val="000000"/>
                <w:sz w:val="22"/>
                <w:szCs w:val="22"/>
              </w:rPr>
              <w:t xml:space="preserve"> </w:t>
            </w:r>
            <w:r w:rsidRPr="009F735C">
              <w:rPr>
                <w:color w:val="000000"/>
                <w:sz w:val="22"/>
                <w:szCs w:val="22"/>
              </w:rPr>
              <w:t>В рамках реализации данной программы, на компенсацию части затрат: 1) на приобретение третьей и более голов коров в личных подсобных хозяйствах, 2) доильного аппарата гражданам, ведущим личное подсобное хозяйство и имеющим шесть и более голов дойных коров, 3) на приобретение товарного и племенного поголовья нетелей и первотелок.</w:t>
            </w:r>
          </w:p>
          <w:p w:rsidR="006D4611" w:rsidRPr="009F735C" w:rsidRDefault="00DD14D1" w:rsidP="00D279A8">
            <w:pPr>
              <w:pStyle w:val="xmsonormal"/>
              <w:spacing w:line="252" w:lineRule="atLeast"/>
              <w:jc w:val="both"/>
              <w:rPr>
                <w:rFonts w:cstheme="minorHAnsi"/>
                <w:sz w:val="22"/>
                <w:szCs w:val="22"/>
              </w:rPr>
            </w:pPr>
            <w:r w:rsidRPr="009F735C">
              <w:rPr>
                <w:color w:val="000000"/>
                <w:sz w:val="22"/>
                <w:szCs w:val="22"/>
              </w:rPr>
              <w:t xml:space="preserve">Всего подано и одобрено 54 заявки на общую сумму </w:t>
            </w:r>
            <w:r w:rsidRPr="009F735C">
              <w:rPr>
                <w:rFonts w:cstheme="minorHAnsi"/>
                <w:sz w:val="22"/>
                <w:szCs w:val="22"/>
              </w:rPr>
              <w:t>1 855 400 руб.</w:t>
            </w:r>
          </w:p>
          <w:p w:rsidR="00A6081C" w:rsidRPr="00DD14D1" w:rsidRDefault="00E7551B" w:rsidP="00E7551B">
            <w:pPr>
              <w:pStyle w:val="xmsonormal"/>
              <w:spacing w:line="252" w:lineRule="atLeast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 по формированию</w:t>
            </w:r>
            <w:r w:rsidR="00A6081C" w:rsidRPr="009F735C">
              <w:rPr>
                <w:rFonts w:eastAsia="Calibri"/>
                <w:sz w:val="22"/>
                <w:szCs w:val="22"/>
                <w:lang w:eastAsia="en-US"/>
              </w:rPr>
              <w:t xml:space="preserve"> привлекательных условий для ведения экономической и сельскохозяйственной деятельности на территории района будет продолжен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  <w:r w:rsidR="00A6081C" w:rsidRPr="009F735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:rsidR="00533E54" w:rsidRPr="00DD14D1" w:rsidRDefault="00533E54" w:rsidP="003E4423">
      <w:pPr>
        <w:widowControl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533E54" w:rsidRPr="00DD14D1" w:rsidSect="00C7614B">
      <w:pgSz w:w="16840" w:h="11900" w:orient="landscape"/>
      <w:pgMar w:top="1134" w:right="538" w:bottom="567" w:left="567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F53" w:rsidRDefault="002B0F53">
      <w:r>
        <w:separator/>
      </w:r>
    </w:p>
  </w:endnote>
  <w:endnote w:type="continuationSeparator" w:id="0">
    <w:p w:rsidR="002B0F53" w:rsidRDefault="002B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F53" w:rsidRDefault="002B0F53"/>
  </w:footnote>
  <w:footnote w:type="continuationSeparator" w:id="0">
    <w:p w:rsidR="002B0F53" w:rsidRDefault="002B0F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3E3"/>
    <w:multiLevelType w:val="hybridMultilevel"/>
    <w:tmpl w:val="E3C21674"/>
    <w:lvl w:ilvl="0" w:tplc="B39E47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361AEE"/>
    <w:multiLevelType w:val="hybridMultilevel"/>
    <w:tmpl w:val="76760BD8"/>
    <w:lvl w:ilvl="0" w:tplc="02549570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2D4377"/>
    <w:multiLevelType w:val="multilevel"/>
    <w:tmpl w:val="D3B8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5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4C9F295C"/>
    <w:multiLevelType w:val="hybridMultilevel"/>
    <w:tmpl w:val="0630B29A"/>
    <w:lvl w:ilvl="0" w:tplc="67AEF2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96445"/>
    <w:multiLevelType w:val="multilevel"/>
    <w:tmpl w:val="D6D67BB4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559577A0"/>
    <w:multiLevelType w:val="hybridMultilevel"/>
    <w:tmpl w:val="0346F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59042B52"/>
    <w:multiLevelType w:val="hybridMultilevel"/>
    <w:tmpl w:val="F1C808FE"/>
    <w:lvl w:ilvl="0" w:tplc="E02EE18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E02EE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15CD"/>
    <w:rsid w:val="000018F2"/>
    <w:rsid w:val="00007523"/>
    <w:rsid w:val="00012896"/>
    <w:rsid w:val="00015BCB"/>
    <w:rsid w:val="00015BFA"/>
    <w:rsid w:val="0001671B"/>
    <w:rsid w:val="000207BD"/>
    <w:rsid w:val="000220B3"/>
    <w:rsid w:val="00023BF8"/>
    <w:rsid w:val="0002558F"/>
    <w:rsid w:val="00027BA8"/>
    <w:rsid w:val="00030FF2"/>
    <w:rsid w:val="00032735"/>
    <w:rsid w:val="00032E28"/>
    <w:rsid w:val="000353F3"/>
    <w:rsid w:val="00040742"/>
    <w:rsid w:val="0004480B"/>
    <w:rsid w:val="00044C04"/>
    <w:rsid w:val="00047C00"/>
    <w:rsid w:val="00054506"/>
    <w:rsid w:val="0005460E"/>
    <w:rsid w:val="000577B1"/>
    <w:rsid w:val="00064755"/>
    <w:rsid w:val="00064B7B"/>
    <w:rsid w:val="0006693A"/>
    <w:rsid w:val="00067CCC"/>
    <w:rsid w:val="00076DF6"/>
    <w:rsid w:val="00081ACD"/>
    <w:rsid w:val="00082578"/>
    <w:rsid w:val="0008767F"/>
    <w:rsid w:val="00090E6A"/>
    <w:rsid w:val="00094425"/>
    <w:rsid w:val="0009485C"/>
    <w:rsid w:val="000963A8"/>
    <w:rsid w:val="000A3ADA"/>
    <w:rsid w:val="000A4E02"/>
    <w:rsid w:val="000A53BF"/>
    <w:rsid w:val="000A62DF"/>
    <w:rsid w:val="000B2CAE"/>
    <w:rsid w:val="000B4906"/>
    <w:rsid w:val="000B7FA7"/>
    <w:rsid w:val="000C3667"/>
    <w:rsid w:val="000C4203"/>
    <w:rsid w:val="000D2F81"/>
    <w:rsid w:val="000D47E2"/>
    <w:rsid w:val="000D53DD"/>
    <w:rsid w:val="000D62FF"/>
    <w:rsid w:val="000D723B"/>
    <w:rsid w:val="000E151A"/>
    <w:rsid w:val="000E2E00"/>
    <w:rsid w:val="000E3CCF"/>
    <w:rsid w:val="000E6D59"/>
    <w:rsid w:val="000E700D"/>
    <w:rsid w:val="001009B5"/>
    <w:rsid w:val="00101580"/>
    <w:rsid w:val="0010421D"/>
    <w:rsid w:val="00110C7D"/>
    <w:rsid w:val="00110FAF"/>
    <w:rsid w:val="001246F0"/>
    <w:rsid w:val="00126FE2"/>
    <w:rsid w:val="001277F1"/>
    <w:rsid w:val="00134AA4"/>
    <w:rsid w:val="00134BF3"/>
    <w:rsid w:val="0014296B"/>
    <w:rsid w:val="001441E9"/>
    <w:rsid w:val="00154E87"/>
    <w:rsid w:val="001554D3"/>
    <w:rsid w:val="001566FA"/>
    <w:rsid w:val="00161DF4"/>
    <w:rsid w:val="0016206E"/>
    <w:rsid w:val="001624C8"/>
    <w:rsid w:val="00162709"/>
    <w:rsid w:val="00165995"/>
    <w:rsid w:val="001747C4"/>
    <w:rsid w:val="001755BA"/>
    <w:rsid w:val="0018085E"/>
    <w:rsid w:val="001836D3"/>
    <w:rsid w:val="00185265"/>
    <w:rsid w:val="001869F9"/>
    <w:rsid w:val="00190149"/>
    <w:rsid w:val="001919F1"/>
    <w:rsid w:val="0019237F"/>
    <w:rsid w:val="001924E0"/>
    <w:rsid w:val="001929DD"/>
    <w:rsid w:val="0019326E"/>
    <w:rsid w:val="0019557F"/>
    <w:rsid w:val="00195F93"/>
    <w:rsid w:val="001A0660"/>
    <w:rsid w:val="001A0F9E"/>
    <w:rsid w:val="001A47D8"/>
    <w:rsid w:val="001A6101"/>
    <w:rsid w:val="001A7829"/>
    <w:rsid w:val="001B3F90"/>
    <w:rsid w:val="001C6D75"/>
    <w:rsid w:val="001D1F28"/>
    <w:rsid w:val="001D734C"/>
    <w:rsid w:val="001E2696"/>
    <w:rsid w:val="001E5513"/>
    <w:rsid w:val="001F06A1"/>
    <w:rsid w:val="001F0FDB"/>
    <w:rsid w:val="001F2A42"/>
    <w:rsid w:val="001F2CE6"/>
    <w:rsid w:val="001F45F4"/>
    <w:rsid w:val="001F6466"/>
    <w:rsid w:val="001F6C0D"/>
    <w:rsid w:val="00201D3B"/>
    <w:rsid w:val="00205858"/>
    <w:rsid w:val="00205A0B"/>
    <w:rsid w:val="00212200"/>
    <w:rsid w:val="00212639"/>
    <w:rsid w:val="00213823"/>
    <w:rsid w:val="002143D0"/>
    <w:rsid w:val="002167C8"/>
    <w:rsid w:val="00223F5A"/>
    <w:rsid w:val="0022611E"/>
    <w:rsid w:val="002304A3"/>
    <w:rsid w:val="00232E63"/>
    <w:rsid w:val="00233FFA"/>
    <w:rsid w:val="00234E1E"/>
    <w:rsid w:val="00235874"/>
    <w:rsid w:val="00236222"/>
    <w:rsid w:val="0023713E"/>
    <w:rsid w:val="0023751C"/>
    <w:rsid w:val="00237B24"/>
    <w:rsid w:val="0024161F"/>
    <w:rsid w:val="00243833"/>
    <w:rsid w:val="00243E21"/>
    <w:rsid w:val="00246F08"/>
    <w:rsid w:val="00246F40"/>
    <w:rsid w:val="002507E9"/>
    <w:rsid w:val="0025150A"/>
    <w:rsid w:val="002602FC"/>
    <w:rsid w:val="00261AAE"/>
    <w:rsid w:val="0026239C"/>
    <w:rsid w:val="0026388A"/>
    <w:rsid w:val="002639A6"/>
    <w:rsid w:val="00266495"/>
    <w:rsid w:val="00271B0F"/>
    <w:rsid w:val="002728BF"/>
    <w:rsid w:val="002755E2"/>
    <w:rsid w:val="00277DCF"/>
    <w:rsid w:val="002903BC"/>
    <w:rsid w:val="00290B53"/>
    <w:rsid w:val="002910E6"/>
    <w:rsid w:val="00293E3F"/>
    <w:rsid w:val="002944AE"/>
    <w:rsid w:val="002964A2"/>
    <w:rsid w:val="00297A76"/>
    <w:rsid w:val="002A0A85"/>
    <w:rsid w:val="002A18CD"/>
    <w:rsid w:val="002A537F"/>
    <w:rsid w:val="002B0440"/>
    <w:rsid w:val="002B0F53"/>
    <w:rsid w:val="002B4303"/>
    <w:rsid w:val="002B7F6D"/>
    <w:rsid w:val="002C2706"/>
    <w:rsid w:val="002C34AF"/>
    <w:rsid w:val="002C404A"/>
    <w:rsid w:val="002C5222"/>
    <w:rsid w:val="002C701A"/>
    <w:rsid w:val="002D1D5A"/>
    <w:rsid w:val="002D20E0"/>
    <w:rsid w:val="002D6083"/>
    <w:rsid w:val="002E014D"/>
    <w:rsid w:val="002E077E"/>
    <w:rsid w:val="002E2BAC"/>
    <w:rsid w:val="002E4D39"/>
    <w:rsid w:val="002E7B9F"/>
    <w:rsid w:val="002E7D9C"/>
    <w:rsid w:val="002F01B9"/>
    <w:rsid w:val="002F2FFF"/>
    <w:rsid w:val="00305B9A"/>
    <w:rsid w:val="0030792E"/>
    <w:rsid w:val="00307AFF"/>
    <w:rsid w:val="00311F73"/>
    <w:rsid w:val="0031587A"/>
    <w:rsid w:val="003170A5"/>
    <w:rsid w:val="003205FF"/>
    <w:rsid w:val="003235AF"/>
    <w:rsid w:val="00323652"/>
    <w:rsid w:val="0032508F"/>
    <w:rsid w:val="003268BA"/>
    <w:rsid w:val="00331F4C"/>
    <w:rsid w:val="00335435"/>
    <w:rsid w:val="00335A35"/>
    <w:rsid w:val="0034096C"/>
    <w:rsid w:val="00344CF1"/>
    <w:rsid w:val="003464F7"/>
    <w:rsid w:val="00352AF0"/>
    <w:rsid w:val="00354CE7"/>
    <w:rsid w:val="00355497"/>
    <w:rsid w:val="00357896"/>
    <w:rsid w:val="00360E21"/>
    <w:rsid w:val="00361301"/>
    <w:rsid w:val="003614F6"/>
    <w:rsid w:val="0036539B"/>
    <w:rsid w:val="00367656"/>
    <w:rsid w:val="00367BDA"/>
    <w:rsid w:val="00372495"/>
    <w:rsid w:val="00372BD0"/>
    <w:rsid w:val="003731CE"/>
    <w:rsid w:val="00373619"/>
    <w:rsid w:val="00381370"/>
    <w:rsid w:val="003836C8"/>
    <w:rsid w:val="003842EE"/>
    <w:rsid w:val="00392A74"/>
    <w:rsid w:val="0039575E"/>
    <w:rsid w:val="003A3615"/>
    <w:rsid w:val="003A4548"/>
    <w:rsid w:val="003A5DC7"/>
    <w:rsid w:val="003B20A4"/>
    <w:rsid w:val="003C1407"/>
    <w:rsid w:val="003D5469"/>
    <w:rsid w:val="003D69B4"/>
    <w:rsid w:val="003D6F71"/>
    <w:rsid w:val="003D7BEA"/>
    <w:rsid w:val="003E4423"/>
    <w:rsid w:val="003E61CA"/>
    <w:rsid w:val="003F15A1"/>
    <w:rsid w:val="003F298C"/>
    <w:rsid w:val="003F3495"/>
    <w:rsid w:val="0040022A"/>
    <w:rsid w:val="004022B9"/>
    <w:rsid w:val="00404329"/>
    <w:rsid w:val="004043E7"/>
    <w:rsid w:val="00404C04"/>
    <w:rsid w:val="00413282"/>
    <w:rsid w:val="0041584D"/>
    <w:rsid w:val="004202CD"/>
    <w:rsid w:val="00421125"/>
    <w:rsid w:val="004222AD"/>
    <w:rsid w:val="004222B8"/>
    <w:rsid w:val="00422EA5"/>
    <w:rsid w:val="00424FA7"/>
    <w:rsid w:val="00427156"/>
    <w:rsid w:val="00427283"/>
    <w:rsid w:val="00427E7F"/>
    <w:rsid w:val="004325F6"/>
    <w:rsid w:val="004371F8"/>
    <w:rsid w:val="004376C2"/>
    <w:rsid w:val="00444776"/>
    <w:rsid w:val="0044565F"/>
    <w:rsid w:val="00445E79"/>
    <w:rsid w:val="00446D2B"/>
    <w:rsid w:val="0045370D"/>
    <w:rsid w:val="00455213"/>
    <w:rsid w:val="00456A8D"/>
    <w:rsid w:val="00456F2F"/>
    <w:rsid w:val="00461F2D"/>
    <w:rsid w:val="00462511"/>
    <w:rsid w:val="00462B38"/>
    <w:rsid w:val="004636D8"/>
    <w:rsid w:val="00466BD9"/>
    <w:rsid w:val="004725E3"/>
    <w:rsid w:val="00474959"/>
    <w:rsid w:val="00475187"/>
    <w:rsid w:val="00484171"/>
    <w:rsid w:val="0048472A"/>
    <w:rsid w:val="00485438"/>
    <w:rsid w:val="00486B10"/>
    <w:rsid w:val="0049202D"/>
    <w:rsid w:val="00492F64"/>
    <w:rsid w:val="004952D5"/>
    <w:rsid w:val="004A472D"/>
    <w:rsid w:val="004A7166"/>
    <w:rsid w:val="004B4C5F"/>
    <w:rsid w:val="004B5618"/>
    <w:rsid w:val="004B58BE"/>
    <w:rsid w:val="004C2DE4"/>
    <w:rsid w:val="004D1D9A"/>
    <w:rsid w:val="004D2BE8"/>
    <w:rsid w:val="004D4897"/>
    <w:rsid w:val="004F4091"/>
    <w:rsid w:val="004F4725"/>
    <w:rsid w:val="004F4A43"/>
    <w:rsid w:val="004F5467"/>
    <w:rsid w:val="004F5DA5"/>
    <w:rsid w:val="004F5DFC"/>
    <w:rsid w:val="004F6A54"/>
    <w:rsid w:val="005040F4"/>
    <w:rsid w:val="00504630"/>
    <w:rsid w:val="00505CC9"/>
    <w:rsid w:val="00510FB1"/>
    <w:rsid w:val="00512EE9"/>
    <w:rsid w:val="005136E9"/>
    <w:rsid w:val="00516549"/>
    <w:rsid w:val="005173DF"/>
    <w:rsid w:val="00517C02"/>
    <w:rsid w:val="00520296"/>
    <w:rsid w:val="00526079"/>
    <w:rsid w:val="00526C16"/>
    <w:rsid w:val="005270F9"/>
    <w:rsid w:val="00531A19"/>
    <w:rsid w:val="00532FAA"/>
    <w:rsid w:val="00533E54"/>
    <w:rsid w:val="00533F9D"/>
    <w:rsid w:val="00535B94"/>
    <w:rsid w:val="00535CEA"/>
    <w:rsid w:val="00540BFC"/>
    <w:rsid w:val="005427CC"/>
    <w:rsid w:val="0055097E"/>
    <w:rsid w:val="0055469A"/>
    <w:rsid w:val="00562CA4"/>
    <w:rsid w:val="005635FC"/>
    <w:rsid w:val="005704D2"/>
    <w:rsid w:val="005840C3"/>
    <w:rsid w:val="00584309"/>
    <w:rsid w:val="00585535"/>
    <w:rsid w:val="00586688"/>
    <w:rsid w:val="005920D3"/>
    <w:rsid w:val="005927CF"/>
    <w:rsid w:val="005972D5"/>
    <w:rsid w:val="00597B61"/>
    <w:rsid w:val="005A1158"/>
    <w:rsid w:val="005A375F"/>
    <w:rsid w:val="005B1546"/>
    <w:rsid w:val="005B1ACC"/>
    <w:rsid w:val="005B1BE0"/>
    <w:rsid w:val="005B2D77"/>
    <w:rsid w:val="005B3F6D"/>
    <w:rsid w:val="005B6F12"/>
    <w:rsid w:val="005C2691"/>
    <w:rsid w:val="005C46AC"/>
    <w:rsid w:val="005C4EB7"/>
    <w:rsid w:val="005C5151"/>
    <w:rsid w:val="005C6EBF"/>
    <w:rsid w:val="005C7A48"/>
    <w:rsid w:val="005C7D08"/>
    <w:rsid w:val="005D0CB1"/>
    <w:rsid w:val="005E4CD9"/>
    <w:rsid w:val="005E5B47"/>
    <w:rsid w:val="005F1C56"/>
    <w:rsid w:val="005F27AF"/>
    <w:rsid w:val="005F374D"/>
    <w:rsid w:val="00600DA2"/>
    <w:rsid w:val="00604740"/>
    <w:rsid w:val="00605003"/>
    <w:rsid w:val="00607EB3"/>
    <w:rsid w:val="00610B5B"/>
    <w:rsid w:val="00622CA5"/>
    <w:rsid w:val="0062380C"/>
    <w:rsid w:val="00623977"/>
    <w:rsid w:val="00625F27"/>
    <w:rsid w:val="006302FE"/>
    <w:rsid w:val="006400DF"/>
    <w:rsid w:val="0064351A"/>
    <w:rsid w:val="00645885"/>
    <w:rsid w:val="00645A92"/>
    <w:rsid w:val="00645BDA"/>
    <w:rsid w:val="0064651A"/>
    <w:rsid w:val="0065244E"/>
    <w:rsid w:val="00654FC5"/>
    <w:rsid w:val="0065554E"/>
    <w:rsid w:val="00660C5F"/>
    <w:rsid w:val="006676D7"/>
    <w:rsid w:val="006702FA"/>
    <w:rsid w:val="0067059F"/>
    <w:rsid w:val="00673A0C"/>
    <w:rsid w:val="00673F1D"/>
    <w:rsid w:val="00680D65"/>
    <w:rsid w:val="0068450C"/>
    <w:rsid w:val="00686BAD"/>
    <w:rsid w:val="00687FBB"/>
    <w:rsid w:val="006970DF"/>
    <w:rsid w:val="006A08A3"/>
    <w:rsid w:val="006A2124"/>
    <w:rsid w:val="006A2D9B"/>
    <w:rsid w:val="006B03B4"/>
    <w:rsid w:val="006B3864"/>
    <w:rsid w:val="006B74BE"/>
    <w:rsid w:val="006C525A"/>
    <w:rsid w:val="006C669B"/>
    <w:rsid w:val="006D3432"/>
    <w:rsid w:val="006D4611"/>
    <w:rsid w:val="006D5E81"/>
    <w:rsid w:val="006D7FC2"/>
    <w:rsid w:val="006E16E3"/>
    <w:rsid w:val="006E1C1F"/>
    <w:rsid w:val="006E2939"/>
    <w:rsid w:val="006E68A4"/>
    <w:rsid w:val="007038B5"/>
    <w:rsid w:val="007058E2"/>
    <w:rsid w:val="007066AE"/>
    <w:rsid w:val="00710DF2"/>
    <w:rsid w:val="00712D61"/>
    <w:rsid w:val="007139F6"/>
    <w:rsid w:val="0071738D"/>
    <w:rsid w:val="0071745B"/>
    <w:rsid w:val="0072078C"/>
    <w:rsid w:val="007262C1"/>
    <w:rsid w:val="007356DD"/>
    <w:rsid w:val="00736927"/>
    <w:rsid w:val="00745491"/>
    <w:rsid w:val="0074660A"/>
    <w:rsid w:val="0074685B"/>
    <w:rsid w:val="00747062"/>
    <w:rsid w:val="00750064"/>
    <w:rsid w:val="00754B36"/>
    <w:rsid w:val="007657DF"/>
    <w:rsid w:val="00765DF8"/>
    <w:rsid w:val="007748ED"/>
    <w:rsid w:val="00776320"/>
    <w:rsid w:val="00776BBF"/>
    <w:rsid w:val="00780D22"/>
    <w:rsid w:val="00787223"/>
    <w:rsid w:val="007924D8"/>
    <w:rsid w:val="007A05EC"/>
    <w:rsid w:val="007A2BDD"/>
    <w:rsid w:val="007A50E4"/>
    <w:rsid w:val="007A62C3"/>
    <w:rsid w:val="007A7F4C"/>
    <w:rsid w:val="007B1BC3"/>
    <w:rsid w:val="007B429F"/>
    <w:rsid w:val="007B7A1A"/>
    <w:rsid w:val="007C0116"/>
    <w:rsid w:val="007C0240"/>
    <w:rsid w:val="007C1BCD"/>
    <w:rsid w:val="007C3222"/>
    <w:rsid w:val="007C5B0A"/>
    <w:rsid w:val="007D2FA8"/>
    <w:rsid w:val="007D3AC5"/>
    <w:rsid w:val="007D4C8C"/>
    <w:rsid w:val="007E07BE"/>
    <w:rsid w:val="007E07EC"/>
    <w:rsid w:val="007E7B7B"/>
    <w:rsid w:val="007F1729"/>
    <w:rsid w:val="007F1A92"/>
    <w:rsid w:val="007F20F9"/>
    <w:rsid w:val="007F5B21"/>
    <w:rsid w:val="00800B00"/>
    <w:rsid w:val="00800F9D"/>
    <w:rsid w:val="008016F6"/>
    <w:rsid w:val="00801CB4"/>
    <w:rsid w:val="0080434F"/>
    <w:rsid w:val="00805383"/>
    <w:rsid w:val="00806340"/>
    <w:rsid w:val="00811686"/>
    <w:rsid w:val="008117A4"/>
    <w:rsid w:val="00814B4E"/>
    <w:rsid w:val="00817042"/>
    <w:rsid w:val="008252BD"/>
    <w:rsid w:val="00830410"/>
    <w:rsid w:val="00842509"/>
    <w:rsid w:val="00843118"/>
    <w:rsid w:val="00844549"/>
    <w:rsid w:val="008446D8"/>
    <w:rsid w:val="008451FF"/>
    <w:rsid w:val="0084595F"/>
    <w:rsid w:val="00846DBA"/>
    <w:rsid w:val="00847870"/>
    <w:rsid w:val="00851197"/>
    <w:rsid w:val="00854BD5"/>
    <w:rsid w:val="00860987"/>
    <w:rsid w:val="00863D00"/>
    <w:rsid w:val="00864802"/>
    <w:rsid w:val="00867F48"/>
    <w:rsid w:val="00872931"/>
    <w:rsid w:val="00874D9F"/>
    <w:rsid w:val="008779B5"/>
    <w:rsid w:val="00887BF8"/>
    <w:rsid w:val="00887CA4"/>
    <w:rsid w:val="008911E9"/>
    <w:rsid w:val="00893094"/>
    <w:rsid w:val="00894098"/>
    <w:rsid w:val="008A28CC"/>
    <w:rsid w:val="008A6FE9"/>
    <w:rsid w:val="008B3864"/>
    <w:rsid w:val="008D1F38"/>
    <w:rsid w:val="008D210D"/>
    <w:rsid w:val="008D3F10"/>
    <w:rsid w:val="008D492C"/>
    <w:rsid w:val="008D51D5"/>
    <w:rsid w:val="008D7793"/>
    <w:rsid w:val="008E2F0E"/>
    <w:rsid w:val="008E34F1"/>
    <w:rsid w:val="008E5DC6"/>
    <w:rsid w:val="008E656B"/>
    <w:rsid w:val="008E783D"/>
    <w:rsid w:val="008F00EC"/>
    <w:rsid w:val="008F45B7"/>
    <w:rsid w:val="008F4773"/>
    <w:rsid w:val="008F7D12"/>
    <w:rsid w:val="00910C29"/>
    <w:rsid w:val="00912625"/>
    <w:rsid w:val="00912E3B"/>
    <w:rsid w:val="00915E8D"/>
    <w:rsid w:val="00921BCC"/>
    <w:rsid w:val="0092284E"/>
    <w:rsid w:val="00922DC0"/>
    <w:rsid w:val="00922F0D"/>
    <w:rsid w:val="00927C69"/>
    <w:rsid w:val="00946207"/>
    <w:rsid w:val="009462AC"/>
    <w:rsid w:val="00950958"/>
    <w:rsid w:val="009520CF"/>
    <w:rsid w:val="009568CB"/>
    <w:rsid w:val="00970919"/>
    <w:rsid w:val="00972534"/>
    <w:rsid w:val="00981F06"/>
    <w:rsid w:val="00982A4C"/>
    <w:rsid w:val="009A45F0"/>
    <w:rsid w:val="009A47E5"/>
    <w:rsid w:val="009A7D3C"/>
    <w:rsid w:val="009B2390"/>
    <w:rsid w:val="009B36D9"/>
    <w:rsid w:val="009B6033"/>
    <w:rsid w:val="009C1DBB"/>
    <w:rsid w:val="009C4DF7"/>
    <w:rsid w:val="009D49DC"/>
    <w:rsid w:val="009E0969"/>
    <w:rsid w:val="009E524E"/>
    <w:rsid w:val="009E7B96"/>
    <w:rsid w:val="009F031F"/>
    <w:rsid w:val="009F06B5"/>
    <w:rsid w:val="009F21B7"/>
    <w:rsid w:val="009F264F"/>
    <w:rsid w:val="009F2E4F"/>
    <w:rsid w:val="009F3794"/>
    <w:rsid w:val="009F4020"/>
    <w:rsid w:val="009F4CA1"/>
    <w:rsid w:val="009F726E"/>
    <w:rsid w:val="009F735C"/>
    <w:rsid w:val="009F7BE2"/>
    <w:rsid w:val="00A00625"/>
    <w:rsid w:val="00A0300F"/>
    <w:rsid w:val="00A05E03"/>
    <w:rsid w:val="00A076FB"/>
    <w:rsid w:val="00A149C3"/>
    <w:rsid w:val="00A16667"/>
    <w:rsid w:val="00A219A7"/>
    <w:rsid w:val="00A22D1E"/>
    <w:rsid w:val="00A24B6D"/>
    <w:rsid w:val="00A2688A"/>
    <w:rsid w:val="00A35D6D"/>
    <w:rsid w:val="00A35F68"/>
    <w:rsid w:val="00A37088"/>
    <w:rsid w:val="00A533DB"/>
    <w:rsid w:val="00A533E1"/>
    <w:rsid w:val="00A542CB"/>
    <w:rsid w:val="00A54AF9"/>
    <w:rsid w:val="00A55298"/>
    <w:rsid w:val="00A552F5"/>
    <w:rsid w:val="00A57F93"/>
    <w:rsid w:val="00A6081C"/>
    <w:rsid w:val="00A61B0E"/>
    <w:rsid w:val="00A66C15"/>
    <w:rsid w:val="00A66C9C"/>
    <w:rsid w:val="00A67526"/>
    <w:rsid w:val="00A71B60"/>
    <w:rsid w:val="00A773D0"/>
    <w:rsid w:val="00A81BDF"/>
    <w:rsid w:val="00A85569"/>
    <w:rsid w:val="00A86045"/>
    <w:rsid w:val="00A864BB"/>
    <w:rsid w:val="00A90A21"/>
    <w:rsid w:val="00A94CF1"/>
    <w:rsid w:val="00A9521F"/>
    <w:rsid w:val="00A9578B"/>
    <w:rsid w:val="00A97BD5"/>
    <w:rsid w:val="00A97DBE"/>
    <w:rsid w:val="00AA305C"/>
    <w:rsid w:val="00AA50BF"/>
    <w:rsid w:val="00AB0F9E"/>
    <w:rsid w:val="00AB4349"/>
    <w:rsid w:val="00AB494A"/>
    <w:rsid w:val="00AC502A"/>
    <w:rsid w:val="00AC5495"/>
    <w:rsid w:val="00AD143F"/>
    <w:rsid w:val="00AD25C4"/>
    <w:rsid w:val="00AD46C3"/>
    <w:rsid w:val="00AE246E"/>
    <w:rsid w:val="00AE6D00"/>
    <w:rsid w:val="00AE74C9"/>
    <w:rsid w:val="00AE7814"/>
    <w:rsid w:val="00AE7A7D"/>
    <w:rsid w:val="00AF64E0"/>
    <w:rsid w:val="00B063FD"/>
    <w:rsid w:val="00B07639"/>
    <w:rsid w:val="00B14DFE"/>
    <w:rsid w:val="00B15B37"/>
    <w:rsid w:val="00B24213"/>
    <w:rsid w:val="00B30E55"/>
    <w:rsid w:val="00B34914"/>
    <w:rsid w:val="00B40727"/>
    <w:rsid w:val="00B42A7C"/>
    <w:rsid w:val="00B45027"/>
    <w:rsid w:val="00B4513D"/>
    <w:rsid w:val="00B4795E"/>
    <w:rsid w:val="00B54F24"/>
    <w:rsid w:val="00B670AB"/>
    <w:rsid w:val="00B700B8"/>
    <w:rsid w:val="00B7212D"/>
    <w:rsid w:val="00B729B3"/>
    <w:rsid w:val="00B74AE5"/>
    <w:rsid w:val="00B75754"/>
    <w:rsid w:val="00B874BD"/>
    <w:rsid w:val="00B919A7"/>
    <w:rsid w:val="00B92862"/>
    <w:rsid w:val="00B973BF"/>
    <w:rsid w:val="00B977C6"/>
    <w:rsid w:val="00BA053A"/>
    <w:rsid w:val="00BA3FD5"/>
    <w:rsid w:val="00BA75D0"/>
    <w:rsid w:val="00BA7EE0"/>
    <w:rsid w:val="00BB058C"/>
    <w:rsid w:val="00BB15F6"/>
    <w:rsid w:val="00BB271C"/>
    <w:rsid w:val="00BB430D"/>
    <w:rsid w:val="00BB5CF1"/>
    <w:rsid w:val="00BC196C"/>
    <w:rsid w:val="00BC2845"/>
    <w:rsid w:val="00BC6B0C"/>
    <w:rsid w:val="00BE2CFE"/>
    <w:rsid w:val="00BE4AC0"/>
    <w:rsid w:val="00BF2B80"/>
    <w:rsid w:val="00BF2D8F"/>
    <w:rsid w:val="00BF5FD2"/>
    <w:rsid w:val="00C01FDC"/>
    <w:rsid w:val="00C050AF"/>
    <w:rsid w:val="00C05CD8"/>
    <w:rsid w:val="00C107C8"/>
    <w:rsid w:val="00C140BC"/>
    <w:rsid w:val="00C14B60"/>
    <w:rsid w:val="00C167FD"/>
    <w:rsid w:val="00C1724A"/>
    <w:rsid w:val="00C23AA7"/>
    <w:rsid w:val="00C25796"/>
    <w:rsid w:val="00C25F55"/>
    <w:rsid w:val="00C2656F"/>
    <w:rsid w:val="00C44C9C"/>
    <w:rsid w:val="00C4758D"/>
    <w:rsid w:val="00C516F8"/>
    <w:rsid w:val="00C52737"/>
    <w:rsid w:val="00C61BF2"/>
    <w:rsid w:val="00C62D92"/>
    <w:rsid w:val="00C63082"/>
    <w:rsid w:val="00C63777"/>
    <w:rsid w:val="00C65124"/>
    <w:rsid w:val="00C66FEB"/>
    <w:rsid w:val="00C70E70"/>
    <w:rsid w:val="00C7184A"/>
    <w:rsid w:val="00C71F08"/>
    <w:rsid w:val="00C747AF"/>
    <w:rsid w:val="00C7614B"/>
    <w:rsid w:val="00C7691F"/>
    <w:rsid w:val="00C7696A"/>
    <w:rsid w:val="00C76E4D"/>
    <w:rsid w:val="00C80BB9"/>
    <w:rsid w:val="00C8211E"/>
    <w:rsid w:val="00C822AB"/>
    <w:rsid w:val="00C82E50"/>
    <w:rsid w:val="00C860EA"/>
    <w:rsid w:val="00C8677E"/>
    <w:rsid w:val="00C8683B"/>
    <w:rsid w:val="00C94D73"/>
    <w:rsid w:val="00CA45C9"/>
    <w:rsid w:val="00CA5A56"/>
    <w:rsid w:val="00CB4515"/>
    <w:rsid w:val="00CB46FC"/>
    <w:rsid w:val="00CB7932"/>
    <w:rsid w:val="00CC0D28"/>
    <w:rsid w:val="00CC198E"/>
    <w:rsid w:val="00CC3372"/>
    <w:rsid w:val="00CD3A5E"/>
    <w:rsid w:val="00CD3E8B"/>
    <w:rsid w:val="00CD4BCB"/>
    <w:rsid w:val="00CD7E68"/>
    <w:rsid w:val="00CE55F0"/>
    <w:rsid w:val="00CF2D5C"/>
    <w:rsid w:val="00CF62A8"/>
    <w:rsid w:val="00CF7489"/>
    <w:rsid w:val="00CF7C32"/>
    <w:rsid w:val="00D11A5C"/>
    <w:rsid w:val="00D15AA8"/>
    <w:rsid w:val="00D200F2"/>
    <w:rsid w:val="00D2126A"/>
    <w:rsid w:val="00D225AA"/>
    <w:rsid w:val="00D25607"/>
    <w:rsid w:val="00D25F6C"/>
    <w:rsid w:val="00D27607"/>
    <w:rsid w:val="00D279A8"/>
    <w:rsid w:val="00D367A3"/>
    <w:rsid w:val="00D40021"/>
    <w:rsid w:val="00D4085B"/>
    <w:rsid w:val="00D40D89"/>
    <w:rsid w:val="00D41ED0"/>
    <w:rsid w:val="00D45E84"/>
    <w:rsid w:val="00D545D4"/>
    <w:rsid w:val="00D57BF9"/>
    <w:rsid w:val="00D60357"/>
    <w:rsid w:val="00D603EC"/>
    <w:rsid w:val="00D644FF"/>
    <w:rsid w:val="00D64CA2"/>
    <w:rsid w:val="00D676C6"/>
    <w:rsid w:val="00D77327"/>
    <w:rsid w:val="00D8263C"/>
    <w:rsid w:val="00D8530F"/>
    <w:rsid w:val="00D863E0"/>
    <w:rsid w:val="00D86FA0"/>
    <w:rsid w:val="00D90077"/>
    <w:rsid w:val="00D900AD"/>
    <w:rsid w:val="00D97855"/>
    <w:rsid w:val="00DA6FBF"/>
    <w:rsid w:val="00DB09A7"/>
    <w:rsid w:val="00DB36B6"/>
    <w:rsid w:val="00DC4859"/>
    <w:rsid w:val="00DC4A5B"/>
    <w:rsid w:val="00DC6272"/>
    <w:rsid w:val="00DD09FD"/>
    <w:rsid w:val="00DD14D1"/>
    <w:rsid w:val="00DD1A28"/>
    <w:rsid w:val="00DD4797"/>
    <w:rsid w:val="00DD5EB8"/>
    <w:rsid w:val="00DD6C17"/>
    <w:rsid w:val="00DE0FC4"/>
    <w:rsid w:val="00DE2F18"/>
    <w:rsid w:val="00DE3032"/>
    <w:rsid w:val="00DE4486"/>
    <w:rsid w:val="00DF3419"/>
    <w:rsid w:val="00DF43A9"/>
    <w:rsid w:val="00E00764"/>
    <w:rsid w:val="00E02345"/>
    <w:rsid w:val="00E07FA6"/>
    <w:rsid w:val="00E1426B"/>
    <w:rsid w:val="00E24418"/>
    <w:rsid w:val="00E267BD"/>
    <w:rsid w:val="00E27E53"/>
    <w:rsid w:val="00E32649"/>
    <w:rsid w:val="00E34378"/>
    <w:rsid w:val="00E37148"/>
    <w:rsid w:val="00E40079"/>
    <w:rsid w:val="00E546D3"/>
    <w:rsid w:val="00E61D4C"/>
    <w:rsid w:val="00E6603F"/>
    <w:rsid w:val="00E70465"/>
    <w:rsid w:val="00E71467"/>
    <w:rsid w:val="00E72D18"/>
    <w:rsid w:val="00E7551B"/>
    <w:rsid w:val="00E82F24"/>
    <w:rsid w:val="00E92211"/>
    <w:rsid w:val="00E96A53"/>
    <w:rsid w:val="00EA0662"/>
    <w:rsid w:val="00EA403A"/>
    <w:rsid w:val="00EA4B94"/>
    <w:rsid w:val="00EA59FB"/>
    <w:rsid w:val="00EA71CE"/>
    <w:rsid w:val="00EB1A05"/>
    <w:rsid w:val="00EB2FC8"/>
    <w:rsid w:val="00EB5DC3"/>
    <w:rsid w:val="00EB70D4"/>
    <w:rsid w:val="00EB7989"/>
    <w:rsid w:val="00EC0B0F"/>
    <w:rsid w:val="00EC0DB7"/>
    <w:rsid w:val="00EC4CA7"/>
    <w:rsid w:val="00EC72FE"/>
    <w:rsid w:val="00ED5175"/>
    <w:rsid w:val="00EE0456"/>
    <w:rsid w:val="00EE29B2"/>
    <w:rsid w:val="00EE52EC"/>
    <w:rsid w:val="00EF4E7C"/>
    <w:rsid w:val="00F00D4F"/>
    <w:rsid w:val="00F02698"/>
    <w:rsid w:val="00F02A37"/>
    <w:rsid w:val="00F0469D"/>
    <w:rsid w:val="00F05639"/>
    <w:rsid w:val="00F07E3A"/>
    <w:rsid w:val="00F10B41"/>
    <w:rsid w:val="00F11E76"/>
    <w:rsid w:val="00F120E8"/>
    <w:rsid w:val="00F15C6B"/>
    <w:rsid w:val="00F17034"/>
    <w:rsid w:val="00F22585"/>
    <w:rsid w:val="00F251E6"/>
    <w:rsid w:val="00F31A8F"/>
    <w:rsid w:val="00F31E11"/>
    <w:rsid w:val="00F418A5"/>
    <w:rsid w:val="00F44477"/>
    <w:rsid w:val="00F455FC"/>
    <w:rsid w:val="00F473E4"/>
    <w:rsid w:val="00F47718"/>
    <w:rsid w:val="00F51CFB"/>
    <w:rsid w:val="00F612D6"/>
    <w:rsid w:val="00F65A2E"/>
    <w:rsid w:val="00F701CC"/>
    <w:rsid w:val="00F7198F"/>
    <w:rsid w:val="00F77DAC"/>
    <w:rsid w:val="00F81DDE"/>
    <w:rsid w:val="00F8482F"/>
    <w:rsid w:val="00F87882"/>
    <w:rsid w:val="00F90A3F"/>
    <w:rsid w:val="00F924F2"/>
    <w:rsid w:val="00F9523A"/>
    <w:rsid w:val="00FB3CEC"/>
    <w:rsid w:val="00FB42DB"/>
    <w:rsid w:val="00FB545C"/>
    <w:rsid w:val="00FB6871"/>
    <w:rsid w:val="00FC10BE"/>
    <w:rsid w:val="00FC12AD"/>
    <w:rsid w:val="00FC4F23"/>
    <w:rsid w:val="00FC6AA4"/>
    <w:rsid w:val="00FE0F27"/>
    <w:rsid w:val="00FE3819"/>
    <w:rsid w:val="00FE41B7"/>
    <w:rsid w:val="00FF1C06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E8D540"/>
  <w15:docId w15:val="{926A8ADF-60B1-4CF4-98B1-1BE49C96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649"/>
    <w:pPr>
      <w:widowControl w:val="0"/>
    </w:pPr>
    <w:rPr>
      <w:rFonts w:eastAsia="Times New Roman"/>
      <w:color w:val="00000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653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5B94"/>
    <w:rPr>
      <w:rFonts w:cs="Times New Roman"/>
      <w:color w:val="0066CC"/>
      <w:u w:val="single"/>
    </w:rPr>
  </w:style>
  <w:style w:type="character" w:customStyle="1" w:styleId="3">
    <w:name w:val="Основной текст (3)_"/>
    <w:link w:val="30"/>
    <w:locked/>
    <w:rsid w:val="00535B94"/>
    <w:rPr>
      <w:rFonts w:ascii="Palatino Linotype" w:eastAsia="Times New Roman" w:hAnsi="Palatino Linotype" w:cs="Palatino Linotype"/>
      <w:b/>
      <w:bCs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rsid w:val="00535B94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character" w:customStyle="1" w:styleId="2Exact">
    <w:name w:val="Основной текст (2) Exact"/>
    <w:rsid w:val="00535B94"/>
    <w:rPr>
      <w:rFonts w:ascii="Palatino Linotype" w:eastAsia="Times New Roman" w:hAnsi="Palatino Linotype" w:cs="Palatino Linotype"/>
      <w:sz w:val="18"/>
      <w:szCs w:val="18"/>
      <w:u w:val="none"/>
    </w:rPr>
  </w:style>
  <w:style w:type="character" w:customStyle="1" w:styleId="2">
    <w:name w:val="Основной текст (2)_"/>
    <w:link w:val="20"/>
    <w:locked/>
    <w:rsid w:val="00535B94"/>
    <w:rPr>
      <w:rFonts w:ascii="Palatino Linotype" w:eastAsia="Times New Roman" w:hAnsi="Palatino Linotype" w:cs="Palatino Linotype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535B94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sz w:val="18"/>
      <w:szCs w:val="18"/>
    </w:rPr>
  </w:style>
  <w:style w:type="character" w:customStyle="1" w:styleId="41">
    <w:name w:val="Основной текст (4)_"/>
    <w:link w:val="42"/>
    <w:locked/>
    <w:rsid w:val="00535B94"/>
    <w:rPr>
      <w:rFonts w:cs="Times New Roman"/>
      <w:sz w:val="18"/>
      <w:szCs w:val="18"/>
      <w:u w:val="none"/>
    </w:rPr>
  </w:style>
  <w:style w:type="paragraph" w:customStyle="1" w:styleId="42">
    <w:name w:val="Основной текст (4)"/>
    <w:basedOn w:val="a"/>
    <w:link w:val="41"/>
    <w:rsid w:val="00535B94"/>
    <w:pPr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4">
    <w:name w:val="header"/>
    <w:basedOn w:val="a"/>
    <w:link w:val="a5"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C7184A"/>
    <w:rPr>
      <w:rFonts w:cs="Times New Roman"/>
      <w:color w:val="000000"/>
    </w:rPr>
  </w:style>
  <w:style w:type="paragraph" w:styleId="a6">
    <w:name w:val="footer"/>
    <w:basedOn w:val="a"/>
    <w:link w:val="a7"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C7184A"/>
    <w:rPr>
      <w:rFonts w:cs="Times New Roman"/>
      <w:color w:val="000000"/>
    </w:rPr>
  </w:style>
  <w:style w:type="paragraph" w:styleId="a8">
    <w:name w:val="Balloon Text"/>
    <w:basedOn w:val="a"/>
    <w:link w:val="a9"/>
    <w:semiHidden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qFormat/>
    <w:rsid w:val="00246F40"/>
    <w:rPr>
      <w:rFonts w:cs="Times New Roman"/>
      <w:b/>
      <w:bCs/>
    </w:rPr>
  </w:style>
  <w:style w:type="paragraph" w:customStyle="1" w:styleId="1">
    <w:name w:val="Абзац списка1"/>
    <w:basedOn w:val="a"/>
    <w:rsid w:val="00246F40"/>
    <w:pPr>
      <w:widowControl/>
      <w:spacing w:after="200" w:line="276" w:lineRule="auto"/>
      <w:ind w:left="720"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b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Microsoft Sans Serif" w:hAnsi="Times New Roman" w:cs="Times New Roman"/>
      <w:color w:val="auto"/>
    </w:rPr>
  </w:style>
  <w:style w:type="paragraph" w:styleId="ac">
    <w:name w:val="Title"/>
    <w:basedOn w:val="a"/>
    <w:link w:val="ad"/>
    <w:qFormat/>
    <w:rsid w:val="00517C02"/>
    <w:pPr>
      <w:widowControl/>
      <w:jc w:val="center"/>
    </w:pPr>
    <w:rPr>
      <w:rFonts w:ascii="Times New Roman" w:eastAsia="Microsoft Sans Serif" w:hAnsi="Times New Roman" w:cs="Times New Roman"/>
      <w:color w:val="auto"/>
    </w:rPr>
  </w:style>
  <w:style w:type="character" w:customStyle="1" w:styleId="ad">
    <w:name w:val="Заголовок Знак"/>
    <w:link w:val="ac"/>
    <w:locked/>
    <w:rsid w:val="00517C02"/>
    <w:rPr>
      <w:rFonts w:ascii="Times New Roman" w:hAnsi="Times New Roman" w:cs="Times New Roman"/>
      <w:lang w:bidi="ar-SA"/>
    </w:rPr>
  </w:style>
  <w:style w:type="character" w:customStyle="1" w:styleId="ae">
    <w:name w:val="Цветовое выделение"/>
    <w:rsid w:val="00517C02"/>
    <w:rPr>
      <w:b/>
      <w:color w:val="000080"/>
      <w:sz w:val="22"/>
    </w:rPr>
  </w:style>
  <w:style w:type="character" w:customStyle="1" w:styleId="40">
    <w:name w:val="Заголовок 4 Знак"/>
    <w:basedOn w:val="a0"/>
    <w:link w:val="4"/>
    <w:semiHidden/>
    <w:rsid w:val="0036539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table" w:customStyle="1" w:styleId="10">
    <w:name w:val="Сетка таблицы светлая1"/>
    <w:basedOn w:val="a1"/>
    <w:uiPriority w:val="40"/>
    <w:rsid w:val="00C822AB"/>
    <w:rPr>
      <w:rFonts w:ascii="Times New Roman" w:eastAsia="Times New Roman" w:hAnsi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">
    <w:name w:val="Table Grid"/>
    <w:basedOn w:val="a1"/>
    <w:uiPriority w:val="39"/>
    <w:locked/>
    <w:rsid w:val="00C822A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1"/>
    <w:basedOn w:val="a1"/>
    <w:uiPriority w:val="40"/>
    <w:rsid w:val="00E24418"/>
    <w:rPr>
      <w:rFonts w:ascii="Times New Roman" w:eastAsia="Times New Roman" w:hAnsi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List Paragraph"/>
    <w:basedOn w:val="a"/>
    <w:uiPriority w:val="34"/>
    <w:qFormat/>
    <w:rsid w:val="00E32649"/>
    <w:pPr>
      <w:ind w:left="720"/>
      <w:contextualSpacing/>
    </w:pPr>
  </w:style>
  <w:style w:type="paragraph" w:styleId="af1">
    <w:name w:val="No Spacing"/>
    <w:uiPriority w:val="1"/>
    <w:qFormat/>
    <w:rsid w:val="00585535"/>
    <w:pPr>
      <w:suppressAutoHyphens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xmsonormal">
    <w:name w:val="x_msonormal"/>
    <w:basedOn w:val="a"/>
    <w:rsid w:val="003F349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84854-60F3-43D1-978B-4262AB4A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8707</Words>
  <Characters>49630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Высокогорская ФБП</Company>
  <LinksUpToDate>false</LinksUpToDate>
  <CharactersWithSpaces>58221</CharactersWithSpaces>
  <SharedDoc>false</SharedDoc>
  <HLinks>
    <vt:vector size="30" baseType="variant">
      <vt:variant>
        <vt:i4>3145824</vt:i4>
      </vt:variant>
      <vt:variant>
        <vt:i4>12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6291562</vt:i4>
      </vt:variant>
      <vt:variant>
        <vt:i4>9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6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mailto:biektau@tatar.ru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AdiyarovaLH</cp:lastModifiedBy>
  <cp:revision>792</cp:revision>
  <cp:lastPrinted>2022-06-28T15:27:00Z</cp:lastPrinted>
  <dcterms:created xsi:type="dcterms:W3CDTF">2023-02-20T12:12:00Z</dcterms:created>
  <dcterms:modified xsi:type="dcterms:W3CDTF">2023-02-28T08:53:00Z</dcterms:modified>
</cp:coreProperties>
</file>