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hanging="28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0"/>
          <w:szCs w:val="20"/>
        </w:rPr>
        <w:t xml:space="preserve">Приложение № 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1340" w:hanging="1843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отбора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0065" w:hanging="708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индустриальных (промышленных) парков для создан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3969" w:firstLine="426"/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Анкета заявителя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Данные по индустриальному (промышленному) парку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7370"/>
        <w:gridCol w:w="1808"/>
        <w:gridCol w:w="1806"/>
        <w:gridCol w:w="1808"/>
        <w:gridCol w:w="1807"/>
      </w:tblGrid>
      <w:tr>
        <w:tblPrEx/>
        <w:trPr>
          <w:trHeight w:val="56"/>
        </w:trPr>
        <w:tc>
          <w:tcPr>
            <w:gridSpan w:val="6"/>
            <w:tcW w:w="1545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Cs w:val="20"/>
                <w:lang w:eastAsia="ru-RU"/>
              </w:rPr>
              <w:t xml:space="preserve">Таблица 1.1. Общие сведения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Cs w:val="20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Cs w:val="20"/>
                <w:lang w:eastAsia="ru-RU"/>
              </w:rPr>
              <w:t xml:space="preserve">Требуемые сведения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Cs w:val="20"/>
                <w:lang w:eastAsia="ru-RU"/>
              </w:rPr>
              <w:t xml:space="preserve">Данные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7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Полное наименование заявителя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33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Полное наименование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Адрес фактического месторасположения индустриального  (промышленного) парка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13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Дата и номер свидетельства об аккредитации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34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Площадь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1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- общая площадь, га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     - полезная площадь, га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Данные по земельным участкам, образующим территорию 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2"/>
            <w:tcW w:w="361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Муниципальная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2"/>
            <w:tcW w:w="361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Частная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tcW w:w="180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кв. м.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кв. м.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245"/>
        </w:trPr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4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Заполненность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индустриального (промышленного) парка (согласно расчету в информационной справке):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322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7.1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- по общей площади, %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12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7.2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     - по полезной площади, %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12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Ранее привлеченные бюджетные инвестиции в развитие индустриального (промышленного) парка: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12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8.1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ind w:left="174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- направление использования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  <w:tr>
        <w:tblPrEx/>
        <w:trPr>
          <w:trHeight w:val="12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</w:rPr>
              <w:t xml:space="preserve">8.2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  <w:tc>
          <w:tcPr>
            <w:tcW w:w="7370" w:type="dxa"/>
            <w:vAlign w:val="center"/>
            <w:textDirection w:val="lrTb"/>
            <w:noWrap w:val="false"/>
          </w:tcPr>
          <w:p>
            <w:pPr>
              <w:ind w:left="174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  <w:t xml:space="preserve">- сумма, млн.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lang w:eastAsia="ru-RU"/>
              </w:rPr>
            </w:r>
          </w:p>
        </w:tc>
        <w:tc>
          <w:tcPr>
            <w:gridSpan w:val="4"/>
            <w:tcW w:w="7229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</w:r>
          </w:p>
        </w:tc>
      </w:tr>
    </w:tbl>
    <w:p>
      <w:r/>
      <w:r/>
      <w:r/>
    </w:p>
    <w:tbl>
      <w:tblPr>
        <w:tblStyle w:val="1_633"/>
        <w:tblW w:w="5000" w:type="pct"/>
        <w:tblLook w:val="04A0" w:firstRow="1" w:lastRow="0" w:firstColumn="1" w:lastColumn="0" w:noHBand="0" w:noVBand="1"/>
      </w:tblPr>
      <w:tblGrid>
        <w:gridCol w:w="449"/>
        <w:gridCol w:w="1593"/>
        <w:gridCol w:w="927"/>
        <w:gridCol w:w="1910"/>
        <w:gridCol w:w="1910"/>
        <w:gridCol w:w="2296"/>
        <w:gridCol w:w="1317"/>
        <w:gridCol w:w="1199"/>
        <w:gridCol w:w="1373"/>
        <w:gridCol w:w="1317"/>
        <w:gridCol w:w="1403"/>
      </w:tblGrid>
      <w:tr>
        <w:tblPrEx/>
        <w:trPr>
          <w:trHeight w:val="377"/>
        </w:trPr>
        <w:tc>
          <w:tcPr>
            <w:gridSpan w:val="11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1.2. Действующие резиденты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377"/>
        </w:trPr>
        <w:tc>
          <w:tcPr>
            <w:tcW w:w="1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резидента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Вид деятельности, осуществляемой на территории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Занятая резидентом площадь на территории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Статус деятельности резидента на  территории индустриального (промышленного) парка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3"/>
            <w:tcW w:w="1234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Фактические показатели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на дату подачи заявки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868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Планируемые показатели за период </w:t>
            </w:r>
            <w:r>
              <w:rPr>
                <w:rFonts w:ascii="Times New Roman" w:hAnsi="Times New Roman" w:eastAsia="Calibri" w:cs="Times New Roman"/>
              </w:rPr>
              <w:t xml:space="preserve">2026-2027 гг.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377"/>
        </w:trPr>
        <w:tc>
          <w:tcPr>
            <w:tcW w:w="14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5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Количество рабочих мест, ед.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83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Величина выручки, млн. руб.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1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Сумма  вложенных инвестиции, млн. руб.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Количество новых рабочих мест, ед.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Сумма  вложенных инвестиции, млн. руб.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311"/>
        </w:trPr>
        <w:tc>
          <w:tcPr>
            <w:tcW w:w="1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32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Деятельность  ведется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Осуществляются строительно-монтажные и пуско-наладочные работы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Ведутся проектные и подготовительные работы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4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87"/>
        </w:trPr>
        <w:tc>
          <w:tcPr>
            <w:tcW w:w="1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3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Деятельность ведется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Осуществляются строительно-монтажные и  пуско-наладочные работы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Ведутся проектные и подготовительные работы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4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425"/>
        </w:trPr>
        <w:tc>
          <w:tcPr>
            <w:tcW w:w="1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3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Деятельность ведется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Осуществляются  строительно-монтажные и пуско-наладочные работы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Ведутся проектные и подготовительные работы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4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425"/>
        </w:trPr>
        <w:tc>
          <w:tcPr>
            <w:gridSpan w:val="6"/>
            <w:tcW w:w="289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83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3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20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4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1807"/>
        <w:gridCol w:w="1424"/>
        <w:gridCol w:w="2126"/>
        <w:gridCol w:w="2693"/>
        <w:gridCol w:w="3119"/>
        <w:gridCol w:w="1842"/>
        <w:gridCol w:w="1843"/>
      </w:tblGrid>
      <w:tr>
        <w:tblPrEx/>
        <w:trPr>
          <w:trHeight w:val="377"/>
        </w:trPr>
        <w:tc>
          <w:tcPr>
            <w:gridSpan w:val="8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1.3. Потенциальные резиденты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377"/>
        </w:trPr>
        <w:tc>
          <w:tcPr>
            <w:tcW w:w="5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резидента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2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Планируемый вид деятельности на территории 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Необходимая площадь для размещения  деятельности на территории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Планируемая дата размещения деятельности на территории  индустриального (промышленного) парка 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</w:rPr>
              <w:t xml:space="preserve">(необходимо указать квартал и год)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Плановое количество  рабочих мест за период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2026-2027 гг., 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Calibri" w:hAnsi="Calibri" w:eastAsia="Calibri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ед.</w:t>
            </w:r>
            <w:r>
              <w:rPr>
                <w:rFonts w:ascii="Calibri" w:hAnsi="Calibri" w:eastAsia="Calibri"/>
                <w:color w:val="000000"/>
              </w:rPr>
            </w:r>
            <w:r>
              <w:rPr>
                <w:rFonts w:ascii="Calibri" w:hAnsi="Calibri" w:eastAsia="Calibri"/>
                <w:color w:val="00000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Сумма  планируемых инвестиции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за период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Calibri" w:hAnsi="Calibri" w:eastAsia="Calibri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2026-2027 гг., млн. ру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б.</w:t>
            </w:r>
            <w:r>
              <w:rPr>
                <w:rFonts w:ascii="Calibri" w:hAnsi="Calibri" w:eastAsia="Calibri"/>
                <w:color w:val="000000"/>
              </w:rPr>
            </w:r>
            <w:r>
              <w:rPr>
                <w:rFonts w:ascii="Calibri" w:hAnsi="Calibri" w:eastAsia="Calibri"/>
                <w:color w:val="000000"/>
              </w:rPr>
            </w:r>
          </w:p>
        </w:tc>
      </w:tr>
      <w:tr>
        <w:tblPrEx/>
        <w:trPr>
          <w:trHeight w:val="311"/>
        </w:trPr>
        <w:tc>
          <w:tcPr>
            <w:tcW w:w="5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24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eastAsia="Calibri" w:cs="Times New Roman"/>
                <w:color w:val="ffffff" w:themeColor="background1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квартал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    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87"/>
        </w:trPr>
        <w:tc>
          <w:tcPr>
            <w:tcW w:w="5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24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ffffff" w:themeColor="background1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квартал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    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67"/>
        </w:trPr>
        <w:tc>
          <w:tcPr>
            <w:tcW w:w="5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24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ffffff" w:themeColor="background1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квартал</w:t>
            </w:r>
            <w:r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 xml:space="preserve">                  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W w:w="8647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ffff" w:themeColor="background1"/>
              </w:rPr>
            </w:pPr>
            <w:r>
              <w:rPr>
                <w:rFonts w:ascii="Times New Roman" w:hAnsi="Times New Roman" w:eastAsia="Calibri" w:cs="Times New Roman"/>
                <w:color w:val="ffffff" w:themeColor="background1"/>
              </w:rPr>
            </w:r>
            <w:r>
              <w:rPr>
                <w:rFonts w:ascii="Times New Roman" w:hAnsi="Times New Roman" w:eastAsia="Calibri" w:cs="Times New Roman"/>
                <w:color w:val="ffffff" w:themeColor="background1"/>
              </w:rPr>
            </w:r>
            <w:r>
              <w:rPr>
                <w:rFonts w:ascii="Times New Roman" w:hAnsi="Times New Roman" w:eastAsia="Calibri" w:cs="Times New Roman"/>
                <w:color w:val="ffffff" w:themeColor="background1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7650"/>
        <w:gridCol w:w="3611"/>
        <w:gridCol w:w="3610"/>
      </w:tblGrid>
      <w:tr>
        <w:tblPrEx/>
        <w:trPr>
          <w:trHeight w:val="377"/>
        </w:trPr>
        <w:tc>
          <w:tcPr>
            <w:gridSpan w:val="4"/>
            <w:tcW w:w="1545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1.4. Основные объекты инфраструктуры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7650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Вид инфраструктуры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gridSpan w:val="2"/>
            <w:tcW w:w="722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Площадь, кв. м.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</w:p>
        </w:tc>
        <w:tc>
          <w:tcPr>
            <w:tcW w:w="7650" w:type="dxa"/>
            <w:vAlign w:val="center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highlight w:val="cyan"/>
                <w:lang w:eastAsia="ru-RU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Свободная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650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Производственные помещения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650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Складские помещения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650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Офисные помещения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650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Прочее (КПП, подсобные помещения, душевые, раздевалки и т.п.)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2"/>
            <w:tcW w:w="822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361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6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4674"/>
        <w:gridCol w:w="2259"/>
        <w:gridCol w:w="1701"/>
        <w:gridCol w:w="1559"/>
        <w:gridCol w:w="2129"/>
        <w:gridCol w:w="2549"/>
      </w:tblGrid>
      <w:tr>
        <w:tblPrEx/>
        <w:trPr>
          <w:trHeight w:val="377"/>
        </w:trPr>
        <w:tc>
          <w:tcPr>
            <w:gridSpan w:val="7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1.5. Объекты инженерной инфраструктуры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4674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Вид инфраструктуры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551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Действующие мощности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Описание оборудования, устройств, сетей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4674" w:type="dxa"/>
            <w:vAlign w:val="center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22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Общие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мощности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Свободные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мощности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vMerge w:val="continue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Электроэнергия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2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кВт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Газоснабжение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2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Водоснабжение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2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Водоотведение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2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Протяженность внутриплощадочных дорог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96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12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1482"/>
      </w:tblGrid>
      <w:tr>
        <w:tblPrEx/>
        <w:trPr>
          <w:trHeight w:val="377"/>
        </w:trPr>
        <w:tc>
          <w:tcPr>
            <w:gridSpan w:val="2"/>
            <w:tcW w:w="1545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1.6. Фотоиллюстрации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61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Общая территория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11481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Необходимо разместить 2-3 фотографии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Деятельность резидентов: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148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Указать наименование резидента 1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</w:r>
          </w:p>
        </w:tc>
        <w:tc>
          <w:tcPr>
            <w:tcW w:w="11481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Необходимо разместить 1-2 фотографии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Указать наименование резидента 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1481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Необходимо разместить 1-2 фотографии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148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</w:tbl>
    <w:p>
      <w:pPr>
        <w:ind w:left="142" w:hanging="142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Обоснование потребности в создании,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индустриального (промышленного) парка, а также технологического присоединения к инженерным сетям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9"/>
        <w:gridCol w:w="7076"/>
        <w:gridCol w:w="7796"/>
      </w:tblGrid>
      <w:tr>
        <w:tblPrEx/>
        <w:trPr>
          <w:trHeight w:val="377"/>
        </w:trPr>
        <w:tc>
          <w:tcPr>
            <w:gridSpan w:val="3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2.1. Общие сведения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Требуемые сведения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Данные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Объект инженерной, энергетической и дорожной инфраструктуры  индустриального (промышленного) парка: описание, необходимые мощности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Целесообразность и предпосылки создания, модернизации и (или)  реконструкции объектов инженерной, энергетической и дорожной инфраструктуры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Стоимость работ, руб.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Направление использования средств (по статьям рас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ходов с указанием суммы каждой статьи в руб.)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Наличие проектно-сметной документации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Нет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Наличие положительного заключения государственной экспертизы проектной документации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Нет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Необходимость в актуализации проектно-сметной документации и  положительного заключения государственной экспертизы проектной документации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Требуется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Создание, модернизация и (или) ре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конструкция объектов инженерной, энергетической и дорожной инфраструктуры, находящихся на  территории и (или) на прилегающей территории индустриальных (промышленных) парков, а также технологическое присоединение к инженерным сетям решает следующие проблемы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 дооснащению необходимой инженерной, энергетической и дорожной  инфраструктурой, а также по технологическому присоединению к инженерным сетям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действующих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резидентов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 дооснащению необходимой инженерной, энергетической и дорожной  инфраструктурой, а также по технологическому присоединению к инженерным сетям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потенциальных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резидентов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7076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Кадастровые номера земельных участков, на тер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ритории которых  планируется создание, модернизация и (или) реконструкция объектов инженерной, энергетической и дорожной инфраструктуры, а также технологическое присоединение к инженерным сетям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Segoe UI Symbol" w:hAnsi="Segoe UI Symbol" w:eastAsia="MS Gothic" w:cs="Segoe UI Symbol"/>
                <w:color w:val="000000"/>
                <w:lang w:eastAsia="ru-RU"/>
              </w:rPr>
            </w:pPr>
            <w:r>
              <w:rPr>
                <w:rFonts w:ascii="Segoe UI Symbol" w:hAnsi="Segoe UI Symbol" w:eastAsia="MS Gothic" w:cs="Segoe UI Symbol"/>
                <w:color w:val="000000"/>
                <w:lang w:eastAsia="ru-RU"/>
              </w:rPr>
            </w:r>
            <w:r>
              <w:rPr>
                <w:rFonts w:ascii="Segoe UI Symbol" w:hAnsi="Segoe UI Symbol" w:eastAsia="MS Gothic" w:cs="Segoe UI Symbol"/>
                <w:color w:val="000000"/>
                <w:lang w:eastAsia="ru-RU"/>
              </w:rPr>
            </w:r>
            <w:r>
              <w:rPr>
                <w:rFonts w:ascii="Segoe UI Symbol" w:hAnsi="Segoe UI Symbol" w:eastAsia="MS Gothic" w:cs="Segoe UI Symbol"/>
                <w:color w:val="000000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9"/>
        <w:gridCol w:w="4524"/>
        <w:gridCol w:w="2911"/>
        <w:gridCol w:w="775"/>
        <w:gridCol w:w="3544"/>
        <w:gridCol w:w="3118"/>
      </w:tblGrid>
      <w:tr>
        <w:tblPrEx/>
        <w:trPr>
          <w:trHeight w:val="377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2.2. Потребность резидентов в создании, модернизации и (или) реконструкции объектов инженерной, энергетической и дорожной инфраструктуры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color w:val="808080" w:themeColor="background1" w:themeShade="80"/>
                <w:lang w:eastAsia="ru-RU"/>
              </w:rPr>
              <w:t xml:space="preserve">(заполняются соответствующие разделы)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377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Электроэнергия: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374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резидента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Потребляемая электроэнергия (факт), кВт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Необходимость в новых мощностях (план), кВт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Газоснабжение: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резидента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Тип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Потребляемые мощности газа (факт),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Необходимость в новых мощностях (план),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Водоснабжение: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резидента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Тип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Потребляемые объемы воды (факт),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Необходимость в новых мощностях (план),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…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Водоотведение: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резидента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Тип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Потребляемые объемы (факт),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Необходимость в новых мощностях (план), м³/час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524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Действующий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Потенциальный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Дороги: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Требуемые сведения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Данные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Вид дорог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Внутриплощадочные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lang w:eastAsia="ru-RU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Подъездные пути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Протяженность дорожного полотна, 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Ширина дорожного полотна, 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Категория дороги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Тип покрытия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Наименование резидентов индустриального (промышленного) парка, чью проблему решает создание, модернизация и (или) реконструкция объектов инженерной, энергетической и дорожной инфраструктуры 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gridSpan w:val="6"/>
            <w:tcW w:w="15451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Прочее: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Требуемые сведения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MS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Данные</w:t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Gothic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Основные технические характеристики объекта инженерной,  энергетической и дорожной инфраструктуры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162"/>
        </w:trPr>
        <w:tc>
          <w:tcP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47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W w:w="7435" w:type="dxa"/>
            <w:vAlign w:val="center"/>
            <w:textDirection w:val="lrTb"/>
            <w:noWrap w:val="false"/>
          </w:tcPr>
          <w:p>
            <w:pPr>
              <w:ind w:right="14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  <w:t xml:space="preserve">Наименование резидентов индустриального (промышленного) парка, чью проблему решает создание, модернизация и (или) реконструкция объектов инженерной, энергетической и дорожной инфраструктуры  индустриального (промышленного) парка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7437" w:type="dxa"/>
            <w:vAlign w:val="center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_63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>
        <w:tblPrEx/>
        <w:trPr>
          <w:trHeight w:val="377"/>
        </w:trPr>
        <w:tc>
          <w:tcPr>
            <w:tcW w:w="15451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Таблица 2.4. Иллюстраци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и, подтверждающие необходимость в создании, модернизации и (или) реконструкции объектов инженерной, энергетической и дорожной инфраструктуры индустриального (промышленного) парка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61"/>
        </w:trPr>
        <w:tc>
          <w:tcPr>
            <w:tcW w:w="15451" w:type="dxa"/>
            <w:vAlign w:val="center"/>
            <w:textDirection w:val="lrTb"/>
            <w:noWrap w:val="false"/>
          </w:tcPr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eastAsia="Calibri" w:cs="Times New Roman"/>
                <w:i/>
                <w:color w:val="a6a6a6" w:themeColor="background1" w:themeShade="A6"/>
              </w:rPr>
              <w:t xml:space="preserve">Необходимо разместить 1-2 фотографии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</w:r>
          </w:p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</w:r>
          </w:p>
          <w:p>
            <w:pPr>
              <w:ind w:righ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:lang w:eastAsia="ru-RU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/>
      <w:bookmarkStart w:id="0" w:name="undefined"/>
      <w:r>
        <w:rPr>
          <w:rFonts w:ascii="Times New Roman" w:hAnsi="Times New Roman" w:cs="Times New Roman"/>
          <w:color w:val="000000" w:themeColor="text1"/>
        </w:rPr>
        <w:t xml:space="preserve">Подпись руководителя заявителя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/______________________________________________/______________________________________________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М.П. (при наличии)</w:t>
      </w:r>
      <w:bookmarkEnd w:id="0"/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202040A0204"/>
  </w:font>
  <w:font w:name="Segoe UI Symbol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table" w:styleId="1_633" w:customStyle="1">
    <w:name w:val="Сетка таблицы2"/>
    <w:basedOn w:val="684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2025-12-08T15:00:22Z</dcterms:modified>
</cp:coreProperties>
</file>