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81" w:rsidRDefault="00F95410" w:rsidP="00B808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eastAsia="Times New Roman" w:hAnsi="PT Astra Serif"/>
          <w:b/>
          <w:bCs/>
          <w:color w:val="000000" w:themeColor="text1"/>
        </w:rPr>
        <w:t xml:space="preserve">Отчет </w:t>
      </w:r>
      <w:r>
        <w:rPr>
          <w:rFonts w:ascii="PT Astra Serif" w:eastAsia="Times New Roman" w:hAnsi="PT Astra Serif"/>
          <w:b/>
          <w:bCs/>
          <w:color w:val="000000" w:themeColor="text1"/>
        </w:rPr>
        <w:t xml:space="preserve">по реализации Стратегии социально-экономического развития Камско-Устьинского муниципального района </w:t>
      </w:r>
      <w:r>
        <w:rPr>
          <w:rFonts w:ascii="PT Astra Serif" w:eastAsia="Times New Roman" w:hAnsi="PT Astra Serif"/>
          <w:b/>
          <w:bCs/>
          <w:color w:val="000000" w:themeColor="text1"/>
        </w:rPr>
        <w:t>за 2021 год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07CE0" w:rsidRDefault="00607CE0" w:rsidP="00B80881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2680"/>
        <w:tblW w:w="15417" w:type="dxa"/>
        <w:tblLayout w:type="fixed"/>
        <w:tblLook w:val="04A0" w:firstRow="1" w:lastRow="0" w:firstColumn="1" w:lastColumn="0" w:noHBand="0" w:noVBand="1"/>
      </w:tblPr>
      <w:tblGrid>
        <w:gridCol w:w="4441"/>
        <w:gridCol w:w="1546"/>
        <w:gridCol w:w="3114"/>
        <w:gridCol w:w="6316"/>
      </w:tblGrid>
      <w:tr w:rsidR="00607CE0">
        <w:trPr>
          <w:trHeight w:val="8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7CE0" w:rsidRDefault="00F95410">
            <w:pPr>
              <w:pStyle w:val="af9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7CE0" w:rsidRDefault="00F95410">
            <w:pPr>
              <w:pStyle w:val="af9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7CE0" w:rsidRDefault="00F95410">
            <w:pPr>
              <w:pStyle w:val="af9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</w:t>
            </w:r>
            <w:r>
              <w:rPr>
                <w:rFonts w:ascii="Times New Roman" w:hAnsi="Times New Roman" w:cs="Times New Roman"/>
                <w:b/>
              </w:rPr>
              <w:t>ветственный исполнитель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7CE0" w:rsidRDefault="00F95410">
            <w:pPr>
              <w:pStyle w:val="af9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Совершенствование системы выявления и поддержки одаренных детей и талантливой молодежи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Работа с одаренными детьми организована на основании районной целевой программы «Поддержка ода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ренных детей К-У МР РТ и их наставников на период 2019-2021 гг» (принято постановлением ИК К-У МР от 14.03.2019г. № 240). Одной из наиболее эффективных форм работы по выявлению, развитию и поддержке одаренных детей является развитие олимпиадного движения,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научно-практических конференций, системы творческих конкурсов. Выявление, развитие и поддержка одаренных детей в учреждениях дополнительного образования детей осуществляется через систему конкурсов, конференций, соревнований, слетов, фестивалей и других ме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роприятий.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В 2021 г. в муниципальном этапе Всероссийской и республиканской предметных олимпиад школьников приняли участие 673 учащихся из общеобразовательных организаций Камско-Устьинского муниципального района.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По итогам муниципального этапа Всероссийской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и республиканской предметных олимпиад школьников: 78победителей и 117 призеров.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По итогам заключительного этапа Всероссийской и республиканской предметных олимпиад школьников: 6 победителя и 20 призеров.</w:t>
            </w:r>
          </w:p>
        </w:tc>
      </w:tr>
      <w:tr w:rsidR="00607CE0" w:rsidTr="00B80881">
        <w:trPr>
          <w:trHeight w:val="558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Специальное образование и поддержка детей,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нуждающихся в помощи государства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B80881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="00F9541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Дошкольные образовательные организации посещает- 4детей с ОВЗ.  В дошкольных образовательных учреждениях обеспечен доступ в здания учреждений для лиц с ограниченными возм</w:t>
            </w:r>
            <w:r w:rsidR="00F9541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ожностями здоровья.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      Общее образование детей с ограниченными возможностями здоровья осуществляется по адаптированным основным общеобразовательным программам в 5 общеобразовательных организациях.  В общеобразовательных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организациях создаются специаль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ные</w:t>
            </w:r>
            <w:r w:rsidR="00B80881" w:rsidRPr="00B80881"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условия для получения образования указанными обучающимися. В 2020-2021 учебном году по адаптированным образовательным программам обучаются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11 обучающихся.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     В рамках благотворительной акции «Помоги собраться в школу» 30 первоклассникам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25 августа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в торжественной обстановке были вручены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ранцы с набором школьных принадлежностей и спортивная формы.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     Для льготной категории обучающихся (дети из многодетных семей с 4-мя и более детей, из семей, находящихся в социально-опасном положении, а также об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учающихся с ОВЗ)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предусмотрено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lastRenderedPageBreak/>
              <w:t>выделение средств из расчета 10 рублей в день из муниципального бюджета.</w:t>
            </w:r>
          </w:p>
        </w:tc>
      </w:tr>
      <w:tr w:rsidR="00607CE0" w:rsidTr="00B80881">
        <w:trPr>
          <w:trHeight w:val="1405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Муниципальная поддержка современных направлений дополнительного образования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На отборочных соревнованиях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профессионального мастерства WorldSkills Russia, который проходил во Владивостоке, команда Затонской средней школы заняла 2 место в компетенции «Спасательные работы». А в финале национального чемпионата, в городе Уфе, молодые профессионалы были награждены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медалями в своей номинации.</w:t>
            </w: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Реализация программ предпрофильной подготовки старшеклассников в учреждениях дополнительного образования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Реализуются программы:</w:t>
            </w:r>
          </w:p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- «Кровельное дело» (Затонская СОШ им.В.П.Муравьева)</w:t>
            </w:r>
          </w:p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«Резьба по дереву», «Робототехника» (Камскоустьинская СОШ, Теньковская СОШ, Камско-Устьинская кадетская школа-интернат)</w:t>
            </w:r>
          </w:p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- «Техническое моделирование», (Большекляринская СОШ)</w:t>
            </w:r>
          </w:p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-«Сувениры Татарстана» (Сюкеевская СОШ)</w:t>
            </w:r>
          </w:p>
          <w:p w:rsidR="00607CE0" w:rsidRDefault="00F9541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- «Прикладное творчество» (ЦВР).</w:t>
            </w:r>
          </w:p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В рамках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этих программ учащиеся проходят обучение по рабочим профессиям</w:t>
            </w: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Разработка и внедрение системы общественного контроля качества образовательных услуг на муниципальном уровне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 исполнительном комитете КУМР создана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комиссия по  независимой оценке качества предоставляемых услуг образовательными организациями. Результаты НОК и планы по повышению качества предоставления услуг раз-мещаются на сайте bus.gov.ru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Внедрение передовых ИКТ в систему образования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widowControl w:val="0"/>
              <w:spacing w:after="0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Активны внедрены методы дистанционного обучения с использованием информационных технологий. МБОУ «Камскоустьинская СОШ» - Школа - центр компетенции в электронном образовании, на базе которой проходят обу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чающие семинары и конференци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и по внедрению иннова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ционных методик преподавания. Все общеобразователь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ные организации подключены к ВОЛС, созданы условия для формирования информационной культуры и безопасности обучающихся.  Внедрено взаимодействие  школы с семьей через единое информаци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онное пространство школы; предоставляются информации родителям (законным представителям) о текущей успеваемости учащихся, ведение электронного дневника и журнала успеваемости.</w:t>
            </w: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Участие в республиканских конкурсах и олимпиадах, реализация проектов с целью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выявления одаренной молодежи в данных сферах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Ежегодно учащиеся школ принимают активное участие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и занимают призовые места в республиканских и всероссийских олимпиадах и конкурсах.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В республиканском конкурсе детского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рисунка «Сохраним природу Татарстана!»;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В республиканском этапе 21-ой Всероссийской олимпиады «Созвездие-2020;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В Республиканском конкурсе «Мирас - объекты культурного наследия Республики Татарстан глазами детей»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В республиканском творческом конкурсе «Рабоч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ей профессией славится мой Татарстан», посвященном 100-летию образования ТАССР;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Диплом 1 степени в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val="en-US" w:eastAsia="ru-RU"/>
              </w:rPr>
              <w:t>XVIII</w:t>
            </w:r>
            <w:r w:rsidRPr="00B80881"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республиканской научно-практической конференции школьников имени Л.Н.Толстого;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2 Диплома 2 степени в международной олимпиаде по музыкальной литературе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«Чайковский. Жизнь музыки»;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В региональном этапе Всероссийского конкурса сочинений </w:t>
            </w:r>
            <w:r w:rsidR="00B80881" w:rsidRPr="00B80881"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 xml:space="preserve">                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2021 года;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Диплом лауреата регионального этапа Всероссийского конкурса юных чтецов «Живая классика»;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Диплом 1 степени в межрегиональном конкурсе детских театральных коллекти</w:t>
            </w: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вов «НИЯТ».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Диплом победителя республиканского этапа конкурса среди отрядов профилактики правонарушений;</w:t>
            </w:r>
          </w:p>
          <w:p w:rsidR="00607CE0" w:rsidRDefault="00F95410" w:rsidP="00B80881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1"/>
                <w:szCs w:val="21"/>
                <w:lang w:eastAsia="ru-RU"/>
              </w:rPr>
              <w:t>Диплом призера республиканского конкурса антикоррупционной направленности «Знай и не допускай»;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en-US"/>
              </w:rPr>
              <w:t xml:space="preserve">Диплом призера XI Республиканского конкурса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en-US"/>
              </w:rPr>
              <w:t>"Путешествие к истокам".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Реализация проектов государственно-частного партнерства в сфере дополнительного образования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Налажена работа с  ПАО «Казанский электротехнический завод». На базе двух школ (МБОУ «Рудницкая СОШ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», </w:t>
            </w:r>
            <w:r w:rsidR="00B80881"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МБОУ «Теньковская СОШ») функционируют электротехнические кружки, которые оснащены необходимым оборудованием. Выпускники этих школ поступают по направлению завода в профильные вузы, по окончании которых обеспечиваются местом работы.</w:t>
            </w:r>
          </w:p>
        </w:tc>
      </w:tr>
      <w:tr w:rsidR="00607CE0" w:rsidTr="00B80881">
        <w:trPr>
          <w:trHeight w:val="585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Внедрение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эффективного контракта в системе общего и дополнительного  образования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МКУ "Управление образования"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сфере  образования идет активное внедрение эффективного контракта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ремонт и строительство учреждений культуры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культуры ИК КУМР, отдел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2020-2021 г. введены в эксплуатацию после строительства: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  <w:r w:rsidR="00B80881" w:rsidRPr="00B80881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филиал №22 (Азимово-Курлибашский СДК)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 общую сумму 9326,67 тыс. руб. (за счет средств бюджета Республики Татарстан (вне программы).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="00B80881"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филиала № 24 (Маломеретко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зинский сельский дом  культуры) 8990,33 тыс. руб. (за счет средств бюджета Республики Татарстан (вне программы</w:t>
            </w:r>
          </w:p>
        </w:tc>
      </w:tr>
      <w:tr w:rsidR="00607CE0" w:rsidTr="00B80881">
        <w:trPr>
          <w:trHeight w:val="277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Профилактика заболеваний и формирование здорового образа жизни. Развитие первичной медико-санитарной помощи.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ГАУЗ ЦРБ КУМР,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Проведено 5 лекций и 4</w:t>
            </w:r>
            <w:r w:rsidR="00B80881"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 акции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 пропаганду ЗОЖ,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Всего бесед 257с охватом 721 человек.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Трансляция видеороликов о вреде алкоголизма и табак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курен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 -214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 вреде наркотиков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247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Пути передачи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 профилактики «Covid-19» -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176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Пути передачи  и профилактики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Вич 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222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607CE0" w:rsidTr="00B80881">
        <w:trPr>
          <w:trHeight w:val="8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создание базы данных частных лиц (в том числе из числа безработных), оказывающих услуги, связанные с туристской деятельностью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Создан туристический портал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Kamskoe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com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где собрана информация о частных лицах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оказывающих туристические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услуги. Портал  постоянно обновляется.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строительство площадок для кемпинга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Инициирована разработка концепции туристической зоны «Карамалка». По результатам открытого конкурса заключен контракт на предоставление услуг по разработке концепции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"Всесезонного рекреационно-туристического комплекса "Карамалка" для нужд Исполнительного комитета Камско-Устьинского МР РТ.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открытие информационного туристского центра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607CE0">
            <w:pPr>
              <w:pStyle w:val="af9"/>
              <w:widowContro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разработка туристских маршрутов по основным профилям развития туризма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Разработаны туристические маршруты: «Краеведческий», маршрут «Выходного дня». Исторический маршрут для автомобилистов «Камское-Устье – жемчужина России»,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 программе «Комплексное развитие сельских территорий» в 2020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году улучшили жилищные условии 4 семьи</w:t>
            </w:r>
          </w:p>
        </w:tc>
      </w:tr>
      <w:tr w:rsidR="00607CE0" w:rsidTr="00B80881">
        <w:trPr>
          <w:trHeight w:val="693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Комплексное обустройство населенных пунктов, расположенных в сельской местности, объектами социальной и инженерной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инфраструктуры: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Строительство модульных магазинов: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2021г. в  д.Караталга (2,915млн.руб)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Развитие сети фельдшерско-акушерских пунктов и/или офисов врача общей практики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Pr="00B80881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Построены фельдшерско - акушерский пункт: в  д.Шапкино</w:t>
            </w:r>
            <w:r w:rsidRPr="00B80881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 сумму 3,0 млн.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руб.</w:t>
            </w:r>
            <w:r w:rsidR="00B80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).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Развитие сети плоскостных спортивных сооружений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Строительство плоскостных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спортивных сооружений: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2020 г.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пгт.Тенишево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Развитие водоснабжения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 программе «Чистая вода» запланировано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строительство водопровода в пгт. Камское Устье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разработка проекта на стро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ительство КНС в поселке Тенишево, а также  водоочистной станции для поселков  Камское Устье, Куйбышевский Затон и  Тенишево.</w:t>
            </w: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Развитие газификации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 2020 году проведена линия газопровода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ул.Дубравная пгт.Камское Устье.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Реализация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607CE0">
            <w:pPr>
              <w:pStyle w:val="af9"/>
              <w:widowContro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строительство или расширение действующего полигона ТБО к 2018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году (в рамках реализации Федеральных и Республиканских программ)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2"/>
              <w:spacing w:before="57" w:after="57" w:line="276" w:lineRule="auto"/>
              <w:jc w:val="both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По федеральной программе комплексное развитие сельских территорий в 26 населенных пунктах района построены площадки ТКО на общую сумму </w:t>
            </w:r>
            <w:r>
              <w:rPr>
                <w:rFonts w:ascii="PT Astra Serif" w:hAnsi="PT Astra Serif"/>
                <w:i/>
                <w:sz w:val="21"/>
                <w:szCs w:val="21"/>
              </w:rPr>
              <w:t xml:space="preserve"> 7,7 млн.руб.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капитальный ремонт сетей водоснабжения в птг. Камское Устье, пгт. Затон им. Куйбышева, с.Ст. Казеево, д. Красновидово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Распоряжением кабинета министра 3759-р от 29.12.2017г. на строительство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водовода в пгт Тенишево от пгт Камское Устье выделено 5 325,5 тыс. руб. Введено в эксплуатацию</w:t>
            </w:r>
          </w:p>
        </w:tc>
      </w:tr>
      <w:tr w:rsidR="00607CE0" w:rsidTr="00B80881">
        <w:trPr>
          <w:trHeight w:val="772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берегоукрепление р.Волга (в рамках реализации Федеральных и Республиканских программ)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2"/>
              <w:spacing w:before="228" w:after="228" w:line="240" w:lineRule="auto"/>
              <w:jc w:val="both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Выполнены работы по </w:t>
            </w:r>
            <w:r>
              <w:rPr>
                <w:rFonts w:ascii="PT Astra Serif" w:hAnsi="PT Astra Serif"/>
                <w:sz w:val="21"/>
                <w:szCs w:val="21"/>
              </w:rPr>
              <w:t>благоустройству и реконструкции берега р.Волга в Камском Устье  на сумму 11,5  млн. руб.</w:t>
            </w:r>
          </w:p>
        </w:tc>
      </w:tr>
      <w:tr w:rsidR="00607CE0">
        <w:trPr>
          <w:trHeight w:val="9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строительство сетей водоотведения и реконструкция существующих очистных сооружений канализации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Включен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на 2021г строительство очистных сооружений в пгт. Тенишево</w:t>
            </w:r>
          </w:p>
          <w:p w:rsidR="00607CE0" w:rsidRDefault="00F95410" w:rsidP="00B80881">
            <w:pPr>
              <w:pStyle w:val="af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Введено в эксплатацию  здание исполнительного комитета  с.Теньки   (на сумму 6,5 млн.руб.),банно-прачечный  комплекса на территории  лагеря «АРГАМАК».</w:t>
            </w:r>
          </w:p>
        </w:tc>
      </w:tr>
      <w:tr w:rsidR="00607CE0">
        <w:trPr>
          <w:trHeight w:val="42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 проведение производственного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общественного экологического контроля объектов производственного и социального назначения на территории муниципального района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607CE0">
            <w:pPr>
              <w:pStyle w:val="2"/>
              <w:spacing w:after="0" w:line="360" w:lineRule="auto"/>
              <w:ind w:firstLine="709"/>
              <w:jc w:val="both"/>
              <w:rPr>
                <w:sz w:val="21"/>
                <w:szCs w:val="21"/>
              </w:rPr>
            </w:pP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мероприятий межпоселенческого характера по охране окружающей среды (в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сфере охраны атмосферного воздуха), в том числе: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607CE0">
            <w:pPr>
              <w:pStyle w:val="2"/>
              <w:spacing w:after="0" w:line="360" w:lineRule="auto"/>
              <w:ind w:firstLine="709"/>
              <w:jc w:val="both"/>
              <w:rPr>
                <w:i/>
              </w:rPr>
            </w:pPr>
          </w:p>
        </w:tc>
      </w:tr>
      <w:tr w:rsidR="00607CE0">
        <w:trPr>
          <w:trHeight w:val="6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перевод котельных и асфальтобетонных установок на газообразное топливо;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перевод котельных и асфальтобетонных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установок на газообразное топливо выполнен на 100%</w:t>
            </w:r>
          </w:p>
        </w:tc>
      </w:tr>
      <w:tr w:rsidR="00607CE0">
        <w:trPr>
          <w:trHeight w:val="120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внедрение новых технологий на предприятиях, обеспечивающих сокращение выбросов загрязняющих веществ в атмосферный воздух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инфраструктурного развития 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607CE0">
            <w:pPr>
              <w:pStyle w:val="2"/>
              <w:spacing w:after="0" w:line="360" w:lineRule="auto"/>
              <w:ind w:firstLine="709"/>
              <w:jc w:val="both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607CE0" w:rsidTr="00B80881">
        <w:trPr>
          <w:trHeight w:val="466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Снижение сроков предоставления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земельных участков для реализации различных проектов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ИК КУМР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0" w:rsidRDefault="00F95410">
            <w:pPr>
              <w:pStyle w:val="af9"/>
              <w:widowControl w:val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Услуги по предоставлению земельных участков реализуются в соответствии с действующим законодательством.</w:t>
            </w:r>
          </w:p>
        </w:tc>
      </w:tr>
    </w:tbl>
    <w:p w:rsidR="00607CE0" w:rsidRDefault="00607CE0">
      <w:pPr>
        <w:pStyle w:val="af9"/>
        <w:rPr>
          <w:rFonts w:ascii="Times New Roman" w:hAnsi="Times New Roman" w:cs="Times New Roman"/>
          <w:color w:val="000000" w:themeColor="text1"/>
        </w:rPr>
      </w:pPr>
    </w:p>
    <w:sectPr w:rsidR="00607CE0">
      <w:headerReference w:type="default" r:id="rId7"/>
      <w:headerReference w:type="first" r:id="rId8"/>
      <w:pgSz w:w="16838" w:h="11906" w:orient="landscape"/>
      <w:pgMar w:top="567" w:right="567" w:bottom="425" w:left="567" w:header="142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5410">
      <w:pPr>
        <w:spacing w:after="0" w:line="240" w:lineRule="auto"/>
      </w:pPr>
      <w:r>
        <w:separator/>
      </w:r>
    </w:p>
  </w:endnote>
  <w:endnote w:type="continuationSeparator" w:id="0">
    <w:p w:rsidR="00000000" w:rsidRDefault="00F9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5410">
      <w:pPr>
        <w:spacing w:after="0" w:line="240" w:lineRule="auto"/>
      </w:pPr>
      <w:r>
        <w:separator/>
      </w:r>
    </w:p>
  </w:footnote>
  <w:footnote w:type="continuationSeparator" w:id="0">
    <w:p w:rsidR="00000000" w:rsidRDefault="00F9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39455"/>
      <w:docPartObj>
        <w:docPartGallery w:val="Page Numbers (Top of Page)"/>
        <w:docPartUnique/>
      </w:docPartObj>
    </w:sdtPr>
    <w:sdtEndPr/>
    <w:sdtContent>
      <w:p w:rsidR="00607CE0" w:rsidRDefault="00F9541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0" w:rsidRDefault="00F95410">
    <w:pPr>
      <w:pStyle w:val="a4"/>
      <w:widowControl w:val="0"/>
      <w:tabs>
        <w:tab w:val="clear" w:pos="4677"/>
        <w:tab w:val="clear" w:pos="9355"/>
        <w:tab w:val="left" w:pos="123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E0"/>
    <w:rsid w:val="00607CE0"/>
    <w:rsid w:val="007C51BF"/>
    <w:rsid w:val="00B80881"/>
    <w:rsid w:val="00F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35F2"/>
  <w15:docId w15:val="{83EE70B9-AAC4-4B4E-96DB-94C3562E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92"/>
    <w:pPr>
      <w:suppressAutoHyphens w:val="0"/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575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70684"/>
  </w:style>
  <w:style w:type="character" w:customStyle="1" w:styleId="a5">
    <w:name w:val="Нижний колонтитул Знак"/>
    <w:basedOn w:val="a0"/>
    <w:link w:val="a6"/>
    <w:uiPriority w:val="99"/>
    <w:qFormat/>
    <w:rsid w:val="00470684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551E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9209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46F38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246F38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246F3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575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Основной текст с отступом Знак"/>
    <w:basedOn w:val="a0"/>
    <w:link w:val="af0"/>
    <w:qFormat/>
    <w:rsid w:val="00B569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1">
    <w:name w:val="Символ нумераци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470684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6">
    <w:name w:val="footer"/>
    <w:basedOn w:val="a"/>
    <w:link w:val="a5"/>
    <w:uiPriority w:val="99"/>
    <w:unhideWhenUsed/>
    <w:rsid w:val="00470684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8">
    <w:name w:val="Balloon Text"/>
    <w:basedOn w:val="a"/>
    <w:link w:val="a7"/>
    <w:uiPriority w:val="99"/>
    <w:semiHidden/>
    <w:unhideWhenUsed/>
    <w:qFormat/>
    <w:rsid w:val="00551E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C2423"/>
    <w:pPr>
      <w:ind w:left="720"/>
      <w:contextualSpacing/>
    </w:pPr>
    <w:rPr>
      <w:rFonts w:cstheme="minorBidi"/>
    </w:rPr>
  </w:style>
  <w:style w:type="paragraph" w:styleId="af9">
    <w:name w:val="No Spacing"/>
    <w:uiPriority w:val="1"/>
    <w:qFormat/>
    <w:rsid w:val="007064A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2F38D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qFormat/>
    <w:rsid w:val="0076288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Normal (Web)"/>
    <w:basedOn w:val="a"/>
    <w:uiPriority w:val="99"/>
    <w:semiHidden/>
    <w:unhideWhenUsed/>
    <w:qFormat/>
    <w:rsid w:val="00486316"/>
    <w:rPr>
      <w:rFonts w:ascii="Times New Roman" w:hAnsi="Times New Roman"/>
      <w:sz w:val="24"/>
      <w:szCs w:val="24"/>
    </w:rPr>
  </w:style>
  <w:style w:type="paragraph" w:styleId="ac">
    <w:name w:val="annotation text"/>
    <w:basedOn w:val="a"/>
    <w:link w:val="ab"/>
    <w:uiPriority w:val="99"/>
    <w:semiHidden/>
    <w:unhideWhenUsed/>
    <w:qFormat/>
    <w:rsid w:val="00246F38"/>
    <w:pPr>
      <w:spacing w:line="240" w:lineRule="auto"/>
    </w:pPr>
    <w:rPr>
      <w:rFonts w:cstheme="minorBidi"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246F38"/>
    <w:rPr>
      <w:b/>
      <w:bCs/>
    </w:rPr>
  </w:style>
  <w:style w:type="paragraph" w:styleId="afb">
    <w:name w:val="Revision"/>
    <w:uiPriority w:val="99"/>
    <w:semiHidden/>
    <w:qFormat/>
    <w:rsid w:val="008F24C9"/>
  </w:style>
  <w:style w:type="paragraph" w:styleId="af0">
    <w:name w:val="Body Text Indent"/>
    <w:basedOn w:val="a"/>
    <w:link w:val="af"/>
    <w:unhideWhenUsed/>
    <w:rsid w:val="00B5692B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2">
    <w:name w:val="Body Text 2"/>
    <w:basedOn w:val="a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12CE-C56E-4584-B8E6-94E5F0CE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1834</Words>
  <Characters>10459</Characters>
  <Application>Microsoft Office Word</Application>
  <DocSecurity>0</DocSecurity>
  <Lines>87</Lines>
  <Paragraphs>24</Paragraphs>
  <ScaleCrop>false</ScaleCrop>
  <Company>MELT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Губайдуллин</dc:creator>
  <dc:description/>
  <cp:lastModifiedBy>Коробова Марина Владимировна</cp:lastModifiedBy>
  <cp:revision>27</cp:revision>
  <cp:lastPrinted>2017-08-04T11:49:00Z</cp:lastPrinted>
  <dcterms:created xsi:type="dcterms:W3CDTF">2021-01-21T14:14:00Z</dcterms:created>
  <dcterms:modified xsi:type="dcterms:W3CDTF">2024-06-25T10:43:00Z</dcterms:modified>
  <dc:language>ru-RU</dc:language>
</cp:coreProperties>
</file>