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01" w:rsidRPr="00CB6E75" w:rsidRDefault="004E7F01" w:rsidP="00CB6E75">
      <w:pPr>
        <w:tabs>
          <w:tab w:val="left" w:pos="11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7C30" w:rsidRPr="00CB6E75" w:rsidRDefault="00441E18" w:rsidP="00CB6E75">
      <w:pPr>
        <w:tabs>
          <w:tab w:val="left" w:pos="1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E75">
        <w:rPr>
          <w:rFonts w:ascii="Times New Roman" w:hAnsi="Times New Roman" w:cs="Times New Roman"/>
          <w:b/>
          <w:sz w:val="20"/>
          <w:szCs w:val="20"/>
        </w:rPr>
        <w:t xml:space="preserve">Форма публичной </w:t>
      </w:r>
      <w:proofErr w:type="gramStart"/>
      <w:r w:rsidRPr="00CB6E75">
        <w:rPr>
          <w:rFonts w:ascii="Times New Roman" w:hAnsi="Times New Roman" w:cs="Times New Roman"/>
          <w:b/>
          <w:sz w:val="20"/>
          <w:szCs w:val="20"/>
        </w:rPr>
        <w:t>отчетности органов исполнительной власти субъектов Российской Федерации</w:t>
      </w:r>
      <w:proofErr w:type="gramEnd"/>
      <w:r w:rsidRPr="00CB6E75">
        <w:rPr>
          <w:rFonts w:ascii="Times New Roman" w:hAnsi="Times New Roman" w:cs="Times New Roman"/>
          <w:b/>
          <w:sz w:val="20"/>
          <w:szCs w:val="20"/>
        </w:rPr>
        <w:t xml:space="preserve"> по реализации мероприятий, направленных на достижение показателей, содержащихся в указах Президента Российской Федерации от 7 мая 2012 года №596-606 (форма №2)</w:t>
      </w:r>
    </w:p>
    <w:tbl>
      <w:tblPr>
        <w:tblW w:w="1003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7"/>
        <w:gridCol w:w="1983"/>
        <w:gridCol w:w="19"/>
        <w:gridCol w:w="4441"/>
        <w:gridCol w:w="57"/>
        <w:gridCol w:w="1109"/>
        <w:gridCol w:w="1096"/>
        <w:gridCol w:w="1007"/>
        <w:gridCol w:w="70"/>
        <w:gridCol w:w="1014"/>
        <w:gridCol w:w="874"/>
        <w:gridCol w:w="1014"/>
        <w:gridCol w:w="1159"/>
        <w:gridCol w:w="982"/>
        <w:gridCol w:w="716"/>
        <w:gridCol w:w="716"/>
        <w:gridCol w:w="355"/>
        <w:gridCol w:w="355"/>
        <w:gridCol w:w="716"/>
        <w:gridCol w:w="716"/>
        <w:gridCol w:w="532"/>
        <w:gridCol w:w="2699"/>
        <w:gridCol w:w="2699"/>
        <w:gridCol w:w="2699"/>
        <w:gridCol w:w="2693"/>
      </w:tblGrid>
      <w:tr w:rsidR="00EC2AB0" w:rsidRPr="00CB6E75" w:rsidTr="004A213C">
        <w:trPr>
          <w:gridAfter w:val="12"/>
          <w:wAfter w:w="2506" w:type="pct"/>
          <w:trHeight w:val="315"/>
          <w:tblHeader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CB6E75" w:rsidRDefault="00441E1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Реквизиты документа (НПА, поручения и т.д.)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CB6E75" w:rsidRDefault="00441E1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CB6E75" w:rsidRDefault="00441E1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Результат исполнения мероприятия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CB6E75" w:rsidRDefault="00441E1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Дата исполнения мероприятия (план)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E18" w:rsidRPr="00CB6E75" w:rsidRDefault="00441E1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Дата исполнения мероприятия (факт)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CB6E75" w:rsidRDefault="00441E1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CB6E75" w:rsidRDefault="00441E1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Примечание</w:t>
            </w:r>
          </w:p>
        </w:tc>
      </w:tr>
      <w:tr w:rsidR="00EC2AB0" w:rsidRPr="00CB6E75" w:rsidTr="004A213C">
        <w:trPr>
          <w:gridAfter w:val="12"/>
          <w:wAfter w:w="2506" w:type="pct"/>
          <w:trHeight w:val="887"/>
          <w:tblHeader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CB6E75" w:rsidRDefault="00441E18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CB6E75" w:rsidRDefault="00441E18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CB6E75" w:rsidRDefault="00441E18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CB6E75" w:rsidRDefault="00441E18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CB6E75" w:rsidRDefault="00441E18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CB6E75" w:rsidRDefault="00441E1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CB6E75" w:rsidRDefault="00441E1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CB6E75" w:rsidRDefault="00441E1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CB6E75" w:rsidRDefault="00441E1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CB6E75" w:rsidRDefault="00441E18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1A4" w:rsidRPr="00CB6E75" w:rsidTr="00C14E59">
        <w:trPr>
          <w:gridAfter w:val="12"/>
          <w:wAfter w:w="2506" w:type="pct"/>
          <w:trHeight w:val="546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CB6E75" w:rsidRDefault="00441E18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Прирост высокопроизводительных рабочих мест, в процентах к предыдущему году (Создание и модернизация к 2020 году 25 млн. высокопроизводительных рабочих мест), единиц</w:t>
            </w:r>
          </w:p>
        </w:tc>
      </w:tr>
      <w:tr w:rsidR="00EC2AB0" w:rsidRPr="00CB6E75" w:rsidTr="00CB6E75">
        <w:trPr>
          <w:gridAfter w:val="12"/>
          <w:wAfter w:w="2506" w:type="pct"/>
          <w:trHeight w:val="6690"/>
        </w:trPr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3C8" w:rsidRPr="00CB6E75" w:rsidRDefault="00E550C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  <w:r w:rsidR="00274FCB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74FCB" w:rsidRPr="00CB6E75" w:rsidRDefault="00274FC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0CC" w:rsidRPr="00CB6E75" w:rsidRDefault="002933C8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</w:t>
            </w:r>
            <w:r w:rsidRPr="00CB6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03.09.2013 № 624 «Об утверждении программы поддержки </w:t>
            </w:r>
            <w:r w:rsidR="00B62970" w:rsidRPr="00CB6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CB6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амского инновационного территориально-производственного кластера на 2013 - 2016 годы»</w:t>
            </w:r>
          </w:p>
        </w:tc>
        <w:tc>
          <w:tcPr>
            <w:tcW w:w="3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0CC" w:rsidRPr="00CB6E75" w:rsidRDefault="00E550C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по развитию Камского инновационного территориально-производственного кластера до 2020 года</w:t>
            </w:r>
          </w:p>
        </w:tc>
        <w:tc>
          <w:tcPr>
            <w:tcW w:w="7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FE2" w:rsidRPr="00CB6E75" w:rsidRDefault="00026FE2" w:rsidP="00CB6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/>
                <w:sz w:val="20"/>
                <w:szCs w:val="20"/>
              </w:rPr>
              <w:t>По итогам конкурсного отбора Минэкономразвития России, проведенного в рамках постановления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 на реализацию комплексного инвестиционного проекта по развитию Камского инновационного территориально-производственного кластера в 2015 году выделено 176,9 млн</w:t>
            </w:r>
            <w:proofErr w:type="gramStart"/>
            <w:r w:rsidRPr="00CB6E75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CB6E75">
              <w:rPr>
                <w:rFonts w:ascii="Times New Roman" w:eastAsia="Times New Roman" w:hAnsi="Times New Roman"/>
                <w:sz w:val="20"/>
                <w:szCs w:val="20"/>
              </w:rPr>
              <w:t>уб., в том числе из федерального бюджета – 158,6 млн.руб., из бюджета Республики Татарстан – 18,3 млн.руб.</w:t>
            </w:r>
          </w:p>
          <w:p w:rsidR="00026FE2" w:rsidRPr="00CB6E75" w:rsidRDefault="00026FE2" w:rsidP="00CB6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/>
                <w:sz w:val="20"/>
                <w:szCs w:val="20"/>
              </w:rPr>
              <w:t xml:space="preserve">Данные средства будут направлены на реализацию мероприятий по следующим направлениям: </w:t>
            </w:r>
          </w:p>
          <w:p w:rsidR="00026FE2" w:rsidRPr="00CB6E75" w:rsidRDefault="00026FE2" w:rsidP="00CB6E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территориальных кластеров; </w:t>
            </w:r>
          </w:p>
          <w:p w:rsidR="00026FE2" w:rsidRPr="00CB6E75" w:rsidRDefault="00026FE2" w:rsidP="00CB6E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/>
                <w:sz w:val="20"/>
                <w:szCs w:val="20"/>
              </w:rPr>
              <w:t xml:space="preserve">профессиональная переподготовка, повышение квалификации и проведение стажировок работников организаций, указанных в программе в качестве ее участников, по направлениям реализации программ (в том числе за рубежом);  </w:t>
            </w:r>
          </w:p>
          <w:p w:rsidR="00E550CC" w:rsidRPr="00CB6E75" w:rsidRDefault="00026FE2" w:rsidP="00CB6E7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на территориях, на которых расположены территориальные кластеры, объектов инновационной и образовательной </w:t>
            </w:r>
            <w:r w:rsidRPr="00CB6E7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инфраструктуры.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0CC" w:rsidRPr="00CB6E75" w:rsidRDefault="00E550C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0CC" w:rsidRPr="00CB6E75" w:rsidRDefault="00E550CC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0CC" w:rsidRPr="00CB6E75" w:rsidRDefault="00026FE2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ED7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50CC" w:rsidRPr="00CB6E75" w:rsidRDefault="00026FE2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50CC" w:rsidRPr="00CB6E75" w:rsidRDefault="009233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0CC" w:rsidRPr="00CB6E75" w:rsidRDefault="00E550C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0CC" w:rsidRPr="00CB6E75" w:rsidRDefault="0092333C" w:rsidP="00CB6E75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2933C8" w:rsidRPr="00CB6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Отчет о реализации средств </w:t>
            </w:r>
            <w:r w:rsidR="00AC0FE0" w:rsidRPr="00CB6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рамках проекта </w:t>
            </w:r>
            <w:r w:rsidR="002933C8" w:rsidRPr="00CB6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будет представлен по итогам финансового года</w:t>
            </w:r>
            <w:r w:rsidR="002933C8" w:rsidRPr="00CB6E7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EC2AB0" w:rsidRPr="00CB6E75" w:rsidTr="004A213C">
        <w:trPr>
          <w:gridAfter w:val="12"/>
          <w:wAfter w:w="2506" w:type="pct"/>
          <w:trHeight w:val="230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CB6E75" w:rsidRDefault="00E550C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CB6E75" w:rsidRDefault="00E550C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CB6E75" w:rsidRDefault="00E550C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CB6E75" w:rsidRDefault="00E550C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CB6E75" w:rsidRDefault="00E550CC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CB6E75" w:rsidRDefault="00E550C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CB6E75" w:rsidRDefault="00E550C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CB6E75" w:rsidRDefault="00E550C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CB6E75" w:rsidRDefault="00E550C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0CC" w:rsidRPr="00CB6E75" w:rsidRDefault="00E550CC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71A4" w:rsidRPr="00CB6E75" w:rsidTr="00C14E59">
        <w:trPr>
          <w:gridAfter w:val="12"/>
          <w:wAfter w:w="2506" w:type="pct"/>
          <w:trHeight w:val="340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C" w:rsidRPr="00CB6E75" w:rsidRDefault="00E550C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2. Отношение объема инвестиций в основной капитал к валовому региональному продукту, %</w:t>
            </w:r>
            <w:r w:rsidR="007F5D77"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271A4" w:rsidRPr="00CB6E75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Доля продукции высокотехнологичных и наукоемких отраслей в валовом региональном продукте относительно уровня 2011 года, %</w:t>
            </w:r>
          </w:p>
        </w:tc>
      </w:tr>
      <w:tr w:rsidR="009E0A20" w:rsidRPr="00CB6E75" w:rsidTr="004A213C">
        <w:trPr>
          <w:gridAfter w:val="12"/>
          <w:wAfter w:w="2506" w:type="pct"/>
          <w:trHeight w:val="153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CB6E75" w:rsidRDefault="009E0A20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ПКМ РТ от 20.12.2013 №1012 «Об утверждении Государственной программы «Развитие транспортной системы Республики Татарстан на 2014-2020 годы»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CB6E75" w:rsidRDefault="009E0A20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программы развития региональных авиаперевозок в Приволжском федеральном округе</w:t>
            </w:r>
            <w:proofErr w:type="gramEnd"/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20" w:rsidRPr="00CB6E75" w:rsidRDefault="009E0A20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2015 году из аэропортов «Казань» и «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Бегишево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 авиакомпании ГУП Оренбургской области «Международный аэропорт «Оренбург», АО «Авиа Менеджмент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Груп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и АО «ЮВТ АЭРО» выполняют рейсы по 8 маршрутам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E0A20" w:rsidRPr="00CB6E75" w:rsidRDefault="009E0A20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2015 год из аэропортов Республики Татарстан выполнено 1787 рейсов, обслужено (на прилет и вылет) 36097 пассажиров.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CB6E75" w:rsidRDefault="009E0A20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2013-2017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CB6E75" w:rsidRDefault="009E0A20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CB6E75" w:rsidRDefault="0004571A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20" w:rsidRPr="00CB6E75" w:rsidRDefault="009E0A20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  <w:p w:rsidR="009E0A20" w:rsidRPr="00CB6E75" w:rsidRDefault="009E0A20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20" w:rsidRPr="00CB6E75" w:rsidRDefault="009E0A20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46,9</w:t>
            </w:r>
          </w:p>
          <w:p w:rsidR="009E0A20" w:rsidRPr="00CB6E75" w:rsidRDefault="009E0A20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20" w:rsidRPr="00CB6E75" w:rsidRDefault="009E0A20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CB6E75" w:rsidRDefault="009E0A20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Экономия по предусмотренным средствам образовалась ввиду того, что полеты по большинству направлений были начаты с февраля 2015 года, в связи с перераспределением прекратившей свою деятельность авиакомпан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ии АО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«АК БАРС АЭРО» маршрутов между другими авиакомпаниями.</w:t>
            </w:r>
          </w:p>
          <w:p w:rsidR="009E0A20" w:rsidRPr="00CB6E75" w:rsidRDefault="009E0A20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71A4" w:rsidRPr="00CB6E75" w:rsidTr="00C14E59">
        <w:trPr>
          <w:gridAfter w:val="12"/>
          <w:wAfter w:w="2506" w:type="pct"/>
          <w:trHeight w:val="283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Индекс производительности труда относительно уровня 2011 года, %</w:t>
            </w:r>
          </w:p>
        </w:tc>
      </w:tr>
      <w:tr w:rsidR="00776B07" w:rsidRPr="00CB6E75" w:rsidTr="0027197D">
        <w:trPr>
          <w:gridAfter w:val="12"/>
          <w:wAfter w:w="2506" w:type="pct"/>
          <w:trHeight w:val="71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07" w:rsidRPr="00CB6E75" w:rsidRDefault="003213FA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31.10.2013 №823 «Об утверждении Государственной программы «Экономическое развитие и инновационная экономика Республики Татарстан на 2014-2020 годы» (с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посл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07" w:rsidRPr="00CB6E75" w:rsidRDefault="0051241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подпрограммы  «Повышение производительности труда на предприятиях Республики Татарстан на 2015-2020 годы»</w:t>
            </w: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В 2015 году в рамках реализации подпрограммы проделана следующая работа:</w:t>
            </w:r>
          </w:p>
          <w:p w:rsidR="00776B07" w:rsidRPr="00CB6E75" w:rsidRDefault="00776B07" w:rsidP="00CB6E7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Отобраны 20 пилотных предприятий для проведения комплексного анализа и разработки программ повышения производительности труда в 2015 году по 4 отраслям экономики: машиностроение, химия и нефтехимия, энергетика, оборонно-промышленный комплекс. Данный перечень утвержден Приказом Министерства промышленности и торговли Республики Татарстан «Об утверждении Перечня предприятий для проведения анализа по вопросам состояния производительности труда в 2015 году» от 07.03.2015 № 48-ОД.</w:t>
            </w:r>
          </w:p>
          <w:p w:rsidR="00776B07" w:rsidRPr="00CB6E75" w:rsidRDefault="00776B07" w:rsidP="00CB6E7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Созданы совместные с пилотными предприятиями рабочие группы «ГАУ «ЦЭТ РТ при КМ РТ» - предприятие».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рабочих групп подготовлены программы и проекты повышения производительности труда на пилотных предприятиях. </w:t>
            </w:r>
          </w:p>
          <w:p w:rsidR="00776B07" w:rsidRPr="00CB6E75" w:rsidRDefault="00776B07" w:rsidP="00CB6E7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Разработана необходимая нормативно правовая база:</w:t>
            </w:r>
          </w:p>
          <w:p w:rsidR="00776B07" w:rsidRPr="00CB6E75" w:rsidRDefault="00776B07" w:rsidP="00CB6E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 постановление Кабинета Министров Республики Татарстан от 18.07.2015 № 529 «О разработке программ повышения производительности труда на предприятиях и в организациях Республики Татарстан»</w:t>
            </w:r>
            <w:r w:rsidR="00E4639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76B07" w:rsidRPr="00CB6E75" w:rsidRDefault="00776B07" w:rsidP="00CB6E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проект приказа Министерства промышленности и торговли  Республики Татарстан «Об утверждении Положения о порядке отбора консалтинговых организаций на право проведения работ и оказания услуг при реализации проектов по повышению производительности труда на промышленных предприятиях и организациях Республики Татарстан»</w:t>
            </w:r>
            <w:r w:rsidR="00E4639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76B07" w:rsidRPr="00CB6E75" w:rsidRDefault="00776B07" w:rsidP="00CB6E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приказ Министерства промышленности и торговли Республики Татарстан от 02.06.2015 № 151-ОД «Об утверждении Положения по формированию республиканской базы  данных проектов повышения производительности труда, мониторинга и организации обмена информацией по результатам реализации программных мероприятий»</w:t>
            </w:r>
            <w:r w:rsidR="00E4639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76B07" w:rsidRPr="00CB6E75" w:rsidRDefault="002C481C" w:rsidP="00CB6E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76B0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Проведены исследования на тему «Опыт внедрения проектов бережливого производства по итогам реализации пилотных проектов и программ развития предприятий» на АО «Завод </w:t>
            </w:r>
            <w:proofErr w:type="spellStart"/>
            <w:r w:rsidR="00776B0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="00776B0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и АО «ПО «Завод имени Серго». </w:t>
            </w:r>
            <w:proofErr w:type="gramStart"/>
            <w:r w:rsidR="00776B0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Разработаны и внедрены</w:t>
            </w:r>
            <w:proofErr w:type="gramEnd"/>
            <w:r w:rsidR="00776B0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совместно с персоналом данных предприятий проекты реализации инструментов и методов бережливого производства, с учетом имеющихся на предприятиях наработок, по снижению нерациональных потерь и специфики производства.</w:t>
            </w:r>
          </w:p>
          <w:p w:rsidR="00776B07" w:rsidRPr="00CB6E75" w:rsidRDefault="002C481C" w:rsidP="00CB6E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76B0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512415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Разработаны </w:t>
            </w:r>
            <w:r w:rsidR="00776B0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документы по вопросам повышения производительности труда:</w:t>
            </w:r>
          </w:p>
          <w:p w:rsidR="00776B07" w:rsidRPr="00CB6E75" w:rsidRDefault="00776B07" w:rsidP="00CB6E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 методические рекомендации для предприятий по подготовке программ повышения производительности труда</w:t>
            </w:r>
            <w:r w:rsidR="00E4639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научно-методологические рекомендации по методологии разработки программ бережливого производства для территорий, отраслей, отдельных предприятий; журнал по организации бережливого производства. Данные материалы были включены в состав раздаточного материала проведенной 06.10.2015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Международной научно-практической конференции «Производительность и бережливое производство» (г. Набережные Челны)</w:t>
            </w:r>
            <w:r w:rsidR="00E4639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76B07" w:rsidRPr="00CB6E75" w:rsidRDefault="002C481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6) </w:t>
            </w:r>
            <w:r w:rsidR="00776B0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Разработаны обучающие материалы по вопросам повышения производительности труда:</w:t>
            </w:r>
          </w:p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учебная программа дополнительного профессионального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курса повышения квалификации специалистов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направлению «Инструменты повышения производительности труда операционной эффективности вспомогательных и административных процессов предприятий»,  методические материалы, включающие теоретический материал, материалы для самостоятельной работы, практических занятий</w:t>
            </w:r>
            <w:r w:rsidR="00E4639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 модульные презентации и сценарии деловых игр по бережливому производству. Проведена их апробация с участием специалистов промышленных предприятий</w:t>
            </w:r>
            <w:r w:rsidR="00E4639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 сценарий деловой игры «Завод по сборке бензонасосов, состоящий из четырех модулей.</w:t>
            </w:r>
          </w:p>
          <w:p w:rsidR="00776B07" w:rsidRPr="00CB6E75" w:rsidRDefault="002C481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76B0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Проводились </w:t>
            </w:r>
            <w:proofErr w:type="gramStart"/>
            <w:r w:rsidR="00776B0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консультационная</w:t>
            </w:r>
            <w:proofErr w:type="gramEnd"/>
            <w:r w:rsidR="00776B0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информационно консалтинговые работы по вопросам повышения производительности труда и бережливого производства:</w:t>
            </w:r>
          </w:p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проведены выездные семинары – совещания  по 15 предприятиям с обсуждением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результатов проводимого аудита резервов роста производительности труда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выездных семинар -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совещаниях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представлены презентации возможностей экспертных организаций по направлениям: </w:t>
            </w:r>
          </w:p>
          <w:p w:rsidR="00776B07" w:rsidRPr="00CB6E75" w:rsidRDefault="00776B07" w:rsidP="00CB6E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технологическая модернизация и техническое перевооружение (АО «Технопарк промышленных технологий «ИТЦ «КНИАТ»), </w:t>
            </w:r>
          </w:p>
          <w:p w:rsidR="00776B07" w:rsidRPr="00CB6E75" w:rsidRDefault="00776B07" w:rsidP="00CB6E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бережливое производство (ФГБОУ ВПО «КНИТУ им. А.Н. Туполева-КАИ»),</w:t>
            </w:r>
          </w:p>
          <w:p w:rsidR="00776B07" w:rsidRPr="00CB6E75" w:rsidRDefault="00776B07" w:rsidP="00CB6E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автоматизированные системы управления (Научно-технический центр производственных систем и корпоративных решений  ОАО «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КПО ВС»), </w:t>
            </w:r>
          </w:p>
          <w:p w:rsidR="00776B07" w:rsidRPr="00CB6E75" w:rsidRDefault="00776B07" w:rsidP="00CB6E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имитационного моделирования при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проектировании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модернизации промышленных производств, оптимизация производственной логистики (Институт информатики АН РТ)</w:t>
            </w:r>
            <w:r w:rsidR="003213FA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проведены рабочие встречи и презентации по направлению «Разработка программ повышения производительности труда промышленных предприятий» в рамках выставки «Энергетика. Ресурсосбережение – 2015» (1-3 апреля 2015 года)</w:t>
            </w:r>
            <w:r w:rsidR="00E4639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 зональный семинар-совещание «О мерах государственной поддержки промышленных предприятий  при реализации программ повышения производительности труда, принципов бережливого производства на предприятиях Республики Татарстан».</w:t>
            </w:r>
          </w:p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другие мероприятия.</w:t>
            </w:r>
          </w:p>
          <w:p w:rsidR="00776B07" w:rsidRPr="00CB6E75" w:rsidRDefault="008C6C4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  <w:r w:rsidR="00776B0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Поддерживается в актуальном </w:t>
            </w:r>
            <w:proofErr w:type="gramStart"/>
            <w:r w:rsidR="00776B0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состоянии</w:t>
            </w:r>
            <w:proofErr w:type="gramEnd"/>
            <w:r w:rsidR="00776B0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интернет-сайт  по вопросам повышения производительности труда (</w:t>
            </w:r>
            <w:hyperlink r:id="rId7" w:history="1">
              <w:r w:rsidR="00776B07" w:rsidRPr="00CB6E7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776B07" w:rsidRPr="00CB6E7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76B07" w:rsidRPr="00CB6E7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ppt</w:t>
              </w:r>
              <w:proofErr w:type="spellEnd"/>
              <w:r w:rsidR="00776B07" w:rsidRPr="00CB6E7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76B07" w:rsidRPr="00CB6E7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tatarstan</w:t>
              </w:r>
              <w:proofErr w:type="spellEnd"/>
              <w:r w:rsidR="00776B07" w:rsidRPr="00CB6E7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76B07" w:rsidRPr="00CB6E7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76B0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разработан раздел, посвященный вопросам бережливого производства</w:t>
            </w:r>
            <w:r w:rsidR="00E4639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размещается информация о реализованных проектах повышения производительности труда</w:t>
            </w:r>
            <w:r w:rsidR="00E4639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размещена и актуализируется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информация для промышленных предприятий по оказываемым мерам государственной поддержки при реализации проектов пов</w:t>
            </w:r>
            <w:r w:rsidR="00E4639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ышения производительности труда,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подготовлена и ежеквартально актуализируется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республиканская база данных проектов повышения производительности труда</w:t>
            </w:r>
            <w:r w:rsidR="00E4639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подготовлена и ежеквартально актуализируется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база данных консалтинговых компаний, реализующих комплексные проекты по развитию предприятий.</w:t>
            </w:r>
          </w:p>
          <w:p w:rsidR="00776B07" w:rsidRPr="00CB6E75" w:rsidRDefault="00776B07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целом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запланированные на 2015 год индикаторы оценки результатов реализации подпрограммы «Повышение производительности труда на предприятиях Республики Татарстан на 2015-2020 годы» достигнуты.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07" w:rsidRPr="00CB6E75" w:rsidRDefault="00776B07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07" w:rsidRPr="00CB6E75" w:rsidRDefault="00776B07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07" w:rsidRPr="00CB6E75" w:rsidRDefault="00837839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B07" w:rsidRPr="00502989" w:rsidRDefault="00502989" w:rsidP="0050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989">
              <w:rPr>
                <w:rFonts w:ascii="Times New Roman" w:eastAsia="Times New Roman" w:hAnsi="Times New Roman" w:cs="Times New Roman"/>
                <w:sz w:val="20"/>
                <w:szCs w:val="20"/>
              </w:rPr>
              <w:t>17,</w:t>
            </w:r>
            <w:r w:rsidR="00776B07" w:rsidRPr="005029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B07" w:rsidRPr="00502989" w:rsidRDefault="00502989" w:rsidP="0050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989">
              <w:rPr>
                <w:rFonts w:ascii="Times New Roman" w:eastAsia="Times New Roman" w:hAnsi="Times New Roman" w:cs="Times New Roman"/>
                <w:sz w:val="20"/>
                <w:szCs w:val="20"/>
              </w:rPr>
              <w:t>17,</w:t>
            </w:r>
            <w:r w:rsidR="00776B07" w:rsidRPr="005029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07" w:rsidRPr="00CB6E75" w:rsidRDefault="00776B07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07" w:rsidRPr="00CB6E75" w:rsidRDefault="00776B07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</w:tr>
      <w:tr w:rsidR="00D271A4" w:rsidRPr="00CB6E75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Рост реальной заработной платы относительно уровня 2011 года, %</w:t>
            </w:r>
            <w:r w:rsidR="007F5D77"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271A4" w:rsidRPr="00CB6E75" w:rsidTr="00C14E59">
        <w:trPr>
          <w:gridAfter w:val="12"/>
          <w:wAfter w:w="2506" w:type="pct"/>
          <w:trHeight w:val="570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Федерации, %</w:t>
            </w:r>
          </w:p>
        </w:tc>
      </w:tr>
      <w:tr w:rsidR="00C14E59" w:rsidRPr="00CB6E75" w:rsidTr="00CB6E75">
        <w:trPr>
          <w:gridAfter w:val="12"/>
          <w:wAfter w:w="2506" w:type="pct"/>
          <w:trHeight w:val="1814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E59" w:rsidRPr="00CB6E75" w:rsidRDefault="00C14E5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21.12.2012 №1014.  </w:t>
            </w:r>
          </w:p>
          <w:p w:rsidR="00C14E59" w:rsidRPr="00CB6E75" w:rsidRDefault="00C14E5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E59" w:rsidRPr="00CB6E75" w:rsidRDefault="00C14E59" w:rsidP="00CB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hAnsi="Times New Roman" w:cs="Times New Roman"/>
                <w:sz w:val="20"/>
                <w:szCs w:val="20"/>
              </w:rPr>
              <w:t xml:space="preserve">РКМ РТ от 20.12.2012 №2291-р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E59" w:rsidRPr="00CB6E75" w:rsidRDefault="00C14E5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Поэтапное повышение заработной платы педагогических работников образовательных учреждений</w:t>
            </w:r>
            <w:r w:rsidR="00B01086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средней заработной платы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регионе</w:t>
            </w:r>
            <w:proofErr w:type="gramEnd"/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E59" w:rsidRPr="00CB6E75" w:rsidRDefault="00B67B5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 w:rsidR="008A4FA0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 года средняя заработная плата педагогических работников общеобразовательных организаций </w:t>
            </w:r>
            <w:r w:rsidR="008A4FA0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 образования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составила </w:t>
            </w:r>
            <w:r w:rsidR="008A4FA0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28499,4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рублей. Отношение средней заработной платы педагогических работников образовательных организаций общего образования к средней заработной плате по Республике Татарстан за этот период составило </w:t>
            </w:r>
            <w:r w:rsidR="00B01086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E59" w:rsidRPr="00CB6E75" w:rsidRDefault="00C14E59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2012-2018 годы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E59" w:rsidRPr="00CB6E75" w:rsidRDefault="00C14E59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E59" w:rsidRPr="00CB6E75" w:rsidRDefault="00C14E59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7839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E59" w:rsidRPr="00CB6E75" w:rsidRDefault="00C14E59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12 073,3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E59" w:rsidRPr="00CB6E75" w:rsidRDefault="00CA6E05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4E59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2 073,7</w:t>
            </w:r>
            <w:r w:rsidR="00984244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C14E59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E59" w:rsidRPr="00CB6E75" w:rsidRDefault="00C14E59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E59" w:rsidRPr="00CB6E75" w:rsidRDefault="00984244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C14E59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2015 года без начисления на ФОТ (прогнозные значения)</w:t>
            </w:r>
          </w:p>
        </w:tc>
      </w:tr>
      <w:tr w:rsidR="00D271A4" w:rsidRPr="00CB6E75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Федерации, %</w:t>
            </w:r>
          </w:p>
        </w:tc>
      </w:tr>
      <w:tr w:rsidR="007C0F35" w:rsidRPr="00CB6E75" w:rsidTr="004A213C">
        <w:trPr>
          <w:gridAfter w:val="12"/>
          <w:wAfter w:w="2506" w:type="pct"/>
          <w:trHeight w:val="2991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35" w:rsidRPr="00CB6E75" w:rsidRDefault="007C0F3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  <w:p w:rsidR="007C0F35" w:rsidRPr="00CB6E75" w:rsidRDefault="007C0F35" w:rsidP="00CB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35" w:rsidRPr="00CB6E75" w:rsidRDefault="007C0F3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hAnsi="Times New Roman" w:cs="Times New Roman"/>
                <w:sz w:val="20"/>
                <w:szCs w:val="20"/>
              </w:rPr>
              <w:t>РКМ РТ от 20.12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.2012 №2291-р</w:t>
            </w:r>
          </w:p>
          <w:p w:rsidR="007C0F35" w:rsidRPr="00CB6E75" w:rsidRDefault="007C0F3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F35" w:rsidRPr="00CB6E75" w:rsidRDefault="007C0F3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РКМ РТ от 21.05.2014 №939-р</w:t>
            </w:r>
            <w:r w:rsidRPr="00CB6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35" w:rsidRPr="00CB6E75" w:rsidRDefault="007C0F3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Поэтапное повышение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35" w:rsidRPr="00CB6E75" w:rsidRDefault="00B01086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9 месяцев </w:t>
            </w:r>
            <w:r w:rsidR="00B67B5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года средняя заработная плата педагогических работников дошкольных образовательных организаций составила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26180,5</w:t>
            </w:r>
            <w:r w:rsidR="00B67B5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рублей. Отношение средней заработной платы педагогических работников дошкольных образовательных организаций к средней заработной плате в сфере общего в Республике Татарстан за этот период составило </w:t>
            </w:r>
            <w:r w:rsidR="00BE17B3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113,7</w:t>
            </w:r>
            <w:r w:rsidR="00B67B5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35" w:rsidRPr="00CB6E75" w:rsidRDefault="007C0F35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2012-2018 годы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35" w:rsidRPr="00CB6E75" w:rsidRDefault="007C0F35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35" w:rsidRPr="00CB6E75" w:rsidRDefault="00837839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F35" w:rsidRPr="00CB6E75" w:rsidRDefault="007C0F35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6 570,7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F35" w:rsidRPr="00CB6E75" w:rsidRDefault="007C0F35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6 570,7</w:t>
            </w:r>
            <w:r w:rsidR="00984244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35" w:rsidRPr="00CB6E75" w:rsidRDefault="007C0F35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35" w:rsidRPr="00CB6E75" w:rsidRDefault="00984244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7C0F35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2015 года без начисления на ФОТ (прогнозные значения)</w:t>
            </w:r>
          </w:p>
        </w:tc>
      </w:tr>
      <w:tr w:rsidR="00D271A4" w:rsidRPr="00CB6E75" w:rsidTr="00C14E59">
        <w:trPr>
          <w:gridAfter w:val="12"/>
          <w:wAfter w:w="2506" w:type="pct"/>
          <w:trHeight w:val="76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Федерации, %</w:t>
            </w:r>
          </w:p>
        </w:tc>
      </w:tr>
      <w:tr w:rsidR="00CF3789" w:rsidRPr="00CB6E75" w:rsidTr="00CB6E75">
        <w:trPr>
          <w:gridAfter w:val="12"/>
          <w:wAfter w:w="2506" w:type="pct"/>
          <w:trHeight w:val="3628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789" w:rsidRPr="00CB6E75" w:rsidRDefault="00CF378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  <w:p w:rsidR="00CF3789" w:rsidRPr="00CB6E75" w:rsidRDefault="00CF378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789" w:rsidRPr="00CB6E75" w:rsidRDefault="00CF3789" w:rsidP="00CB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РКМ РТ </w:t>
            </w:r>
            <w:r w:rsidRPr="00CB6E75">
              <w:rPr>
                <w:rFonts w:ascii="Times New Roman" w:hAnsi="Times New Roman" w:cs="Times New Roman"/>
                <w:sz w:val="20"/>
                <w:szCs w:val="20"/>
              </w:rPr>
              <w:t>от 21.05.2014 №939-р</w:t>
            </w:r>
          </w:p>
          <w:p w:rsidR="00CF3789" w:rsidRPr="00CB6E75" w:rsidRDefault="00CF3789" w:rsidP="00CB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789" w:rsidRPr="00CB6E75" w:rsidRDefault="00CF378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hAnsi="Times New Roman" w:cs="Times New Roman"/>
                <w:sz w:val="20"/>
                <w:szCs w:val="20"/>
              </w:rPr>
              <w:t>РКМ РТ от 20.12.2012 №2291-р</w:t>
            </w:r>
          </w:p>
          <w:p w:rsidR="00CF3789" w:rsidRPr="00CB6E75" w:rsidRDefault="00CF378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789" w:rsidRPr="00CB6E75" w:rsidRDefault="00CF378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Поэтапное повышение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</w:t>
            </w:r>
            <w:proofErr w:type="gramEnd"/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789" w:rsidRPr="00CB6E75" w:rsidRDefault="000F0D60" w:rsidP="00CB6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9 месяцев </w:t>
            </w:r>
            <w:r w:rsidR="00B67B5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года средняя заработная плата преподавателей и мастеров производственного обучения образовательных учреждений НПО и СПО составила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23747,6</w:t>
            </w:r>
            <w:r w:rsidR="00B67B5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рублей. Отношение средней заработной платы педагогических преподавателей и мастеров производственного обучения образовательных учреждений НПО и СПО к средней заработной плате по Республике Татарстан за этот период составило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="00B67B5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789" w:rsidRPr="00CB6E75" w:rsidRDefault="00CF3789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2012-2018 годы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789" w:rsidRPr="00CB6E75" w:rsidRDefault="00CF3789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789" w:rsidRPr="00CB6E75" w:rsidRDefault="00837839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789" w:rsidRPr="00CB6E75" w:rsidRDefault="00CF3789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1082,8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789" w:rsidRPr="00CB6E75" w:rsidRDefault="00CF3789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1082,8</w:t>
            </w:r>
            <w:r w:rsidR="00984244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789" w:rsidRPr="00CB6E75" w:rsidRDefault="00CF3789" w:rsidP="008C6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789" w:rsidRPr="00CB6E75" w:rsidRDefault="00984244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CF3789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2015 года без начисления на ФОТ (прогнозные значения)</w:t>
            </w:r>
          </w:p>
        </w:tc>
      </w:tr>
      <w:tr w:rsidR="00D271A4" w:rsidRPr="00CB6E75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Отношение средней заработной платы работников учреждений культуры к средней заработной плате по субъекту Российской Федерации, %</w:t>
            </w:r>
            <w:r w:rsidR="007F5D77"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271A4" w:rsidRPr="00CB6E75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 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Российской Федерации, %</w:t>
            </w:r>
          </w:p>
        </w:tc>
      </w:tr>
      <w:tr w:rsidR="00EC2AB0" w:rsidRPr="00CB6E75" w:rsidTr="00CB6E75">
        <w:trPr>
          <w:gridAfter w:val="12"/>
          <w:wAfter w:w="2506" w:type="pct"/>
          <w:trHeight w:val="3231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hAnsi="Times New Roman" w:cs="Times New Roman"/>
                <w:sz w:val="20"/>
                <w:szCs w:val="20"/>
              </w:rPr>
              <w:t>РКМ РТ от 20.12.2012 №2291-р</w:t>
            </w:r>
          </w:p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01.07.2013 №461 </w:t>
            </w:r>
          </w:p>
          <w:p w:rsidR="00076215" w:rsidRPr="00CB6E75" w:rsidRDefault="00076215" w:rsidP="00CB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Поэтапное повышения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</w:t>
            </w:r>
            <w:proofErr w:type="gramEnd"/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540094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9 месяцев 2015 года </w:t>
            </w:r>
            <w:r w:rsidR="00B67B5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заработная плата  врачей и работников 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 составила </w:t>
            </w:r>
            <w:r w:rsidR="0033161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37402</w:t>
            </w:r>
            <w:r w:rsidR="00B67B5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</w:t>
            </w:r>
            <w:r w:rsidR="0033161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B67B5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 Отношение средней заработной платы врачей и работников 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 по Республике Татарстан составило 13</w:t>
            </w:r>
            <w:r w:rsidR="0033161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67B5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,6%.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DF318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01.12.2015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15" w:rsidRPr="00CB6E75" w:rsidRDefault="00DF318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4768,8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15" w:rsidRPr="00CB6E75" w:rsidRDefault="00DF318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4768,8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DF318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71A4" w:rsidRPr="00CB6E75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 Удельный вес численности высококвалифицированных работников в общей численности квалифицированных работников, %</w:t>
            </w:r>
          </w:p>
        </w:tc>
      </w:tr>
      <w:tr w:rsidR="00EC2AB0" w:rsidRPr="00CB6E75" w:rsidTr="00CB6E75">
        <w:trPr>
          <w:gridAfter w:val="12"/>
          <w:wAfter w:w="2506" w:type="pct"/>
          <w:trHeight w:val="10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CB6E75" w:rsidRDefault="00BB0D8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09.08.2013 №553 «Об утверждении Государственной программы «Содействие занятости населения в Республике Татарстан на 2014-2020 годы» </w:t>
            </w:r>
          </w:p>
          <w:p w:rsidR="00BB0D85" w:rsidRPr="00CB6E75" w:rsidRDefault="00BB0D8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D85" w:rsidRPr="00CB6E75" w:rsidRDefault="00BB0D85" w:rsidP="00CB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hAnsi="Times New Roman" w:cs="Times New Roman"/>
                <w:sz w:val="20"/>
                <w:szCs w:val="20"/>
              </w:rPr>
              <w:t>ПКМ РТ от 18.03.2015 №162 «Об утверждении Государственной программы "Реализация дополнительных мероприятий в сфере занятости населения, направленных на снижение напряженности на рынке труда Республики Татарстан, на 2015 год»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CB6E75" w:rsidRDefault="00BB0D8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Опережающее профессиональное обучение работников организаций, осуществляющих реструктуризацию и модернизацию деятельности в соответствии с инвестиционными проектами 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D6" w:rsidRPr="00CB6E75" w:rsidRDefault="00DF3188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Государственной программой «Реализация дополнительных мероприятий в сфере занятости населения, направленных на снижение напряженности на рынке труда Республики Татарстан, на 2015 год», утвержденной постановлением Кабинета Министров Республики Татарстан от 18.03.2015 №162, предусмотрено мероприятие по организации опережающего профессионального обучения 6834 работников организаций, находящихся под риском увольнения, и граждан, ищущих работу. </w:t>
            </w:r>
          </w:p>
          <w:p w:rsidR="0043739C" w:rsidRPr="00CB6E75" w:rsidRDefault="00DF3188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25 декабря 2015 года приступили к обучению 15 976 человек, из них после завершения обучения 3287 человек приступили</w:t>
            </w:r>
            <w:r w:rsidR="0043739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43739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стажировке.</w:t>
            </w:r>
            <w:r w:rsidR="0043739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BB0D85" w:rsidRPr="00CB6E75" w:rsidRDefault="00BB0D8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CB6E75" w:rsidRDefault="00BB0D8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CB6E75" w:rsidRDefault="00BB0D8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1B" w:rsidRPr="00CB6E75" w:rsidRDefault="00837839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CB6E75" w:rsidRDefault="00DF3188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</w:t>
            </w:r>
            <w:r w:rsidR="009042D6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,97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CB6E75" w:rsidRDefault="009042D6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68,97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CB6E75" w:rsidRDefault="00420770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CB6E75" w:rsidRDefault="00BB0D8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AB0" w:rsidRPr="00CB6E75" w:rsidTr="00EB40BA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РКМ РТ от 15.01.2015 № 30-р</w:t>
            </w:r>
          </w:p>
          <w:p w:rsidR="00076215" w:rsidRPr="00CB6E75" w:rsidRDefault="00076215" w:rsidP="00CB6E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14.04.2015 № 252 «Об утверждении Плана мероприятий по реализации третьего этапа Стратегии развития образования в Республике Татарстан на 2010-2015 годы «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Килэчэк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» - «Будущее» на 2015 год» п. 5.5.1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9 ресурсных центров подготовки кадров для отраслей экономики Республики Татарстан на базе учреждений профессионального образования</w:t>
            </w:r>
          </w:p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механический колледж, Казанский строительный колледж, МПК № 87, Нижнекамский индустриальный техникум, Казанский автотранспортный техникум им. А.П.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Обыденнова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Атнинский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сельскохозяйственный техникум,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Заиснкий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политехнический колледж,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Лаишевский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технико-экономический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техникум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ениногорский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нефтяной техникум)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C94C0E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созданные ресурсные</w:t>
            </w:r>
            <w:r w:rsidR="002D0D50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центры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закуплено и поставлено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учебно-лабораторное оборудование, завершены работы по капитальному ремонту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15" w:rsidRPr="00CB6E75" w:rsidRDefault="00837839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15" w:rsidRPr="00CB6E75" w:rsidRDefault="00076215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15" w:rsidRPr="00CB6E75" w:rsidRDefault="00C94C0E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15" w:rsidRPr="00CB6E75" w:rsidRDefault="00076215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15" w:rsidRPr="00CB6E75" w:rsidRDefault="00076215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71A4" w:rsidRPr="00CB6E75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B6E75" w:rsidRDefault="00076215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 Отношение средней заработной платы социальных работников к средней заработной плате по субъекту Российской Федерации, %</w:t>
            </w:r>
          </w:p>
        </w:tc>
      </w:tr>
      <w:tr w:rsidR="002306F5" w:rsidRPr="00CB6E75" w:rsidTr="004A213C">
        <w:trPr>
          <w:gridAfter w:val="12"/>
          <w:wAfter w:w="2506" w:type="pct"/>
          <w:trHeight w:val="334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1F" w:rsidRPr="00CB6E75" w:rsidRDefault="00D07E1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29.05.2013 №359 «Об утверждении плана мероприятий («дорожной карты») «Повышение эффективности и качества услуг в сфере социального обслуживания населения Республики Татарстан (2013 – 2018 годы)» </w:t>
            </w:r>
          </w:p>
          <w:p w:rsidR="00D07E1F" w:rsidRPr="00CB6E75" w:rsidRDefault="00D07E1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7E1F" w:rsidRPr="00CB6E75" w:rsidRDefault="00D07E1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21.12.2012 №1014 </w:t>
            </w:r>
          </w:p>
          <w:p w:rsidR="00D07E1F" w:rsidRPr="00CB6E75" w:rsidRDefault="00D07E1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7E1F" w:rsidRPr="00CB6E75" w:rsidRDefault="00D07E1F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hAnsi="Times New Roman" w:cs="Times New Roman"/>
                <w:sz w:val="20"/>
                <w:szCs w:val="20"/>
              </w:rPr>
              <w:t>РКМ РТ от 20.12.2012 №2291-р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1F" w:rsidRPr="00CB6E75" w:rsidRDefault="00D07E1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Поэтапное повышение заработной платы социальных работников   государственных учреждений РТ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9" w:rsidRPr="00CB6E75" w:rsidRDefault="00C873E2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9 месяцев </w:t>
            </w:r>
            <w:r w:rsidR="009053F5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года средняя заработная плата социальных работников составила 18876,8 руб.</w:t>
            </w:r>
            <w:r w:rsidR="003A35CB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</w:t>
            </w:r>
            <w:r w:rsidR="009053F5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социальных работников к средней заработной плате по Республике Татарстан за этот период составило </w:t>
            </w:r>
            <w:r w:rsidR="00F35D5E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  <w:r w:rsidR="009053F5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D07E1F" w:rsidRPr="00CB6E75" w:rsidRDefault="00D07E1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1F" w:rsidRPr="00CB6E75" w:rsidRDefault="00D07E1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1F" w:rsidRPr="00CB6E75" w:rsidRDefault="00D07E1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1F" w:rsidRPr="00CB6E75" w:rsidRDefault="00837839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5CB" w:rsidRPr="00CB6E75" w:rsidRDefault="003A35C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946,60</w:t>
            </w:r>
          </w:p>
          <w:p w:rsidR="00D07E1F" w:rsidRPr="00CB6E75" w:rsidRDefault="00D07E1F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632" w:rsidRPr="00CB6E75" w:rsidRDefault="003B6632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959,80</w:t>
            </w:r>
            <w:r w:rsidR="00A72621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D07E1F" w:rsidRPr="00CB6E75" w:rsidRDefault="00D07E1F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49" w:rsidRPr="00CB6E75" w:rsidRDefault="00A05249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13,20</w:t>
            </w:r>
          </w:p>
          <w:p w:rsidR="00D07E1F" w:rsidRPr="00CB6E75" w:rsidRDefault="00D07E1F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249" w:rsidRPr="00CB6E75" w:rsidRDefault="00984244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Представлеые</w:t>
            </w:r>
            <w:proofErr w:type="spellEnd"/>
            <w:r w:rsidR="00A05249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данные </w:t>
            </w:r>
          </w:p>
          <w:p w:rsidR="00A05249" w:rsidRPr="00CB6E75" w:rsidRDefault="00A0524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A762E" w:rsidRPr="00CB6E75" w:rsidRDefault="00A0524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работникам </w:t>
            </w:r>
          </w:p>
          <w:p w:rsidR="008A762E" w:rsidRPr="00CB6E75" w:rsidRDefault="00A0524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за 12 меся</w:t>
            </w:r>
            <w:r w:rsidR="008A762E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A762E" w:rsidRPr="00CB6E75" w:rsidRDefault="00A0524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цев</w:t>
            </w:r>
            <w:proofErr w:type="spellEnd"/>
            <w:r w:rsidR="008A762E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года</w:t>
            </w:r>
          </w:p>
          <w:p w:rsidR="00D07E1F" w:rsidRPr="00CB6E75" w:rsidRDefault="00D07E1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1A4" w:rsidRPr="00CB6E75" w:rsidTr="00C14E59">
        <w:trPr>
          <w:gridAfter w:val="12"/>
          <w:wAfter w:w="2506" w:type="pct"/>
          <w:trHeight w:val="170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15" w:rsidRPr="00CB6E75" w:rsidRDefault="00076215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 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Федерации, %</w:t>
            </w:r>
          </w:p>
        </w:tc>
      </w:tr>
      <w:tr w:rsidR="00D0050B" w:rsidRPr="00CB6E75" w:rsidTr="004A213C">
        <w:trPr>
          <w:gridAfter w:val="12"/>
          <w:wAfter w:w="2506" w:type="pct"/>
          <w:trHeight w:val="175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hAnsi="Times New Roman" w:cs="Times New Roman"/>
                <w:sz w:val="20"/>
                <w:szCs w:val="20"/>
              </w:rPr>
              <w:t>РКМ РТ от 20.12.2012 №2291-р</w:t>
            </w:r>
          </w:p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21.12.2012 №1014. </w:t>
            </w:r>
          </w:p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ПКМРТ от 01.07.2013 №461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Поэтапное повышение заработной платы младшего медицинского персонала (персонала, обеспечивающего условия для предоставления медицинских услуг)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9053F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9 месяцев 2015 года </w:t>
            </w:r>
            <w:r w:rsidR="00D0050B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заработная плата младшего медицинского (фармацевтического) персонала составила </w:t>
            </w:r>
            <w:r w:rsidR="00A72621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14977,6</w:t>
            </w:r>
            <w:r w:rsidR="00D0050B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руб. Отношение к средней заработной плате по Республике Татарстан составило 52,</w:t>
            </w:r>
            <w:r w:rsidR="00A72621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0050B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01.12.2015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2134,8</w:t>
            </w:r>
          </w:p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2134,8</w:t>
            </w:r>
          </w:p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50B" w:rsidRPr="00CB6E75" w:rsidTr="00C14E59">
        <w:trPr>
          <w:gridAfter w:val="12"/>
          <w:wAfter w:w="2506" w:type="pct"/>
          <w:trHeight w:val="510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 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Российской Федерации, %</w:t>
            </w:r>
          </w:p>
        </w:tc>
      </w:tr>
      <w:tr w:rsidR="00D0050B" w:rsidRPr="00CB6E75" w:rsidTr="00C14E59">
        <w:trPr>
          <w:gridAfter w:val="12"/>
          <w:wAfter w:w="2506" w:type="pct"/>
          <w:trHeight w:val="18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hAnsi="Times New Roman" w:cs="Times New Roman"/>
                <w:sz w:val="20"/>
                <w:szCs w:val="20"/>
              </w:rPr>
              <w:t>РКМ РТ от 20.12.2012 №2291-р</w:t>
            </w:r>
          </w:p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ПКМРТ от 01.07.2013 №461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Поэтапное повышение заработной платы среднего медицинского (фармацевтического) персонала (персонала, обеспечивающего условия для предоставления медицинских услуг)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BB24C7" w:rsidP="008C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9 месяцев 2015 года </w:t>
            </w:r>
            <w:r w:rsidR="0092567A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заработная плата среднего медицинского персонала составила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22642,6</w:t>
            </w:r>
            <w:r w:rsidR="0092567A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Отношение к средней заработной плате по Республике Татарстан составляет 79,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2567A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  <w:r w:rsidR="0092567A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92567A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8595,7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92567A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8595,7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0050B" w:rsidRPr="00CB6E75" w:rsidTr="00EB40BA">
        <w:trPr>
          <w:gridAfter w:val="4"/>
          <w:wAfter w:w="1703" w:type="pct"/>
          <w:trHeight w:val="270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 Количество оборудованных (оснащенных) рабочих мест для трудоустройства инвалидов за год, единиц</w:t>
            </w:r>
          </w:p>
        </w:tc>
        <w:tc>
          <w:tcPr>
            <w:tcW w:w="155" w:type="pct"/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shd w:val="clear" w:color="auto" w:fill="auto"/>
            <w:vAlign w:val="center"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50B" w:rsidRPr="00CB6E75" w:rsidTr="00CB6E75">
        <w:trPr>
          <w:gridAfter w:val="12"/>
          <w:wAfter w:w="2506" w:type="pct"/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Республики Татарстан  от 24.07.2006 № 60-ЗРТ «О квотировании и резервировании рабочих мест для инвалидов и граждан, особо нуждающихся в социальной защите»</w:t>
            </w:r>
          </w:p>
          <w:p w:rsidR="00D0050B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Кабинета Министров РТ от 09.08.2013 № 553 «Об утверждении Государственной программы «Содействие занятости населения Республики Татарстан на 2014-2020 годы»</w:t>
            </w:r>
          </w:p>
          <w:p w:rsidR="00CB6E75" w:rsidRPr="00CB6E75" w:rsidRDefault="00CB6E75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содействия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незанятых инвалидов на оборудованные  (оснащение) для них рабочие места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1551B3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трудоустройство  469 незанятых инвалидов, за 2015 года трудоустроено 480 человек.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837839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50B" w:rsidRPr="00CB6E75" w:rsidRDefault="00B66505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50B" w:rsidRPr="00CB6E75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16. Прирост количества выставочных проектов, осуществляемых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субъектах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Федерации, относительно уровня 2011 года, %</w:t>
            </w:r>
          </w:p>
        </w:tc>
      </w:tr>
      <w:tr w:rsidR="00D0050B" w:rsidRPr="00CB6E75" w:rsidTr="004A213C">
        <w:trPr>
          <w:gridAfter w:val="12"/>
          <w:wAfter w:w="2506" w:type="pct"/>
          <w:trHeight w:val="315"/>
        </w:trPr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21.12.2012 №1014. </w:t>
            </w:r>
          </w:p>
        </w:tc>
        <w:tc>
          <w:tcPr>
            <w:tcW w:w="3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совместных выставочных проектов с государственными музеями Российской Федерации и музеями Республики Татарстан</w:t>
            </w: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8B7CC4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0050B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 год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D0050B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работали следующие выставочные проекты:</w:t>
            </w:r>
          </w:p>
        </w:tc>
        <w:tc>
          <w:tcPr>
            <w:tcW w:w="17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2013-2015 годы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837839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0B" w:rsidRPr="00CB6E75" w:rsidRDefault="005619B2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0B" w:rsidRPr="00CB6E75" w:rsidRDefault="005619B2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D0050B" w:rsidRPr="00CB6E75" w:rsidTr="004A213C">
        <w:trPr>
          <w:gridAfter w:val="12"/>
          <w:wAfter w:w="2506" w:type="pct"/>
          <w:trHeight w:val="945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     «Айвазовский и флот»,  выставка в государственном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изобразительных искусств РТ  из собрания Центрального военно-морского музея Министерства обороны РФ (Санкт-Петербург)</w:t>
            </w:r>
          </w:p>
        </w:tc>
        <w:tc>
          <w:tcPr>
            <w:tcW w:w="1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0050B" w:rsidRPr="00CB6E75" w:rsidTr="004A213C">
        <w:trPr>
          <w:gridAfter w:val="12"/>
          <w:wAfter w:w="2506" w:type="pct"/>
          <w:trHeight w:val="293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     «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Плененные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Сталинграде», выставка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Елабужского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государственного историко-архитектурного и художественного музея-заповедника организованная совместно с Государственным историко-мемориальным музеем-заповедником «Сталинградская битва» (г. Волгоград)</w:t>
            </w:r>
          </w:p>
        </w:tc>
        <w:tc>
          <w:tcPr>
            <w:tcW w:w="1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0050B" w:rsidRPr="00CB6E75" w:rsidTr="004A213C">
        <w:trPr>
          <w:gridAfter w:val="12"/>
          <w:wAfter w:w="2506" w:type="pct"/>
          <w:trHeight w:val="1140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«Зинаида Евгеньевна Серебрякова (1884 – 1967)», где представлены экспонаты из собрания Государственного Русского музея (г. Санкт-Петербург)  в государственном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изобразительных искусств РТ.</w:t>
            </w:r>
          </w:p>
        </w:tc>
        <w:tc>
          <w:tcPr>
            <w:tcW w:w="1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0050B" w:rsidRPr="00CB6E75" w:rsidTr="004A213C">
        <w:trPr>
          <w:gridAfter w:val="12"/>
          <w:wAfter w:w="2506" w:type="pct"/>
          <w:trHeight w:val="900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«Дети и война» - совместный проект музея-заповедника «Казанский Кремль» и+ Центрального музея Великой Отечественной войны (г. Москва) и Национального Музея Республики Татарстан </w:t>
            </w:r>
          </w:p>
          <w:p w:rsidR="00D0050B" w:rsidRPr="00CB6E75" w:rsidRDefault="00D0050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   «Образы Италии. Произведения из собрания Государственного Эрмитажа»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«Эрмитаж-Казань» музея-заповедника «Казанский Кремль»</w:t>
            </w:r>
            <w:r w:rsidR="008D336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D336C" w:rsidRPr="00CB6E75" w:rsidRDefault="008C6C4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8D336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«Небеса «</w:t>
            </w:r>
            <w:proofErr w:type="spellStart"/>
            <w:r w:rsidR="008D336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Заонежья</w:t>
            </w:r>
            <w:proofErr w:type="spellEnd"/>
            <w:r w:rsidR="008D336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» из собрания Государственного историко-архитектурного и этнографического музея-заповедника «Кижи» (Республика Карелия) в Выставочном зале «Манеж» Государственного историко-архитектурного и художественного музея-заповедника «Казанский Кремль.</w:t>
            </w:r>
          </w:p>
          <w:p w:rsidR="008D336C" w:rsidRPr="00CB6E75" w:rsidRDefault="008D336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Выставка «Русский бунт и любовь всепобеждающая». Совместный проект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Елабужского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государственного историко-архитектурного и художественного музея-заповедника и Оренбургского губернаторского историко-краеведческого музея.</w:t>
            </w:r>
          </w:p>
          <w:p w:rsidR="008D336C" w:rsidRPr="00CB6E75" w:rsidRDefault="008D336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Выставка «Сравнится с золотом чугун»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каслинско-го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художественного литья из чугуна XIX - нач. XX вв. из собрания Екатеринбургского музея изобразительных искусств в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государственном историко-архитектурном и художественном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музее-заповеднике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D336C" w:rsidRPr="00CB6E75" w:rsidRDefault="008D336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Выставка «Поваренная книга: приглашение к обеду» (из собрания Государственного Русского музея, г. Санкт-Петербург) в Государственном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изобразительных искусств РТ.</w:t>
            </w:r>
          </w:p>
        </w:tc>
        <w:tc>
          <w:tcPr>
            <w:tcW w:w="1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0050B" w:rsidRPr="00CB6E75" w:rsidTr="00C14E59">
        <w:trPr>
          <w:gridAfter w:val="12"/>
          <w:wAfter w:w="2506" w:type="pct"/>
          <w:trHeight w:val="420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17. Доля детей, привлекаемых к участию в творческих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мероприятиях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 общего числа детей, процентов</w:t>
            </w:r>
          </w:p>
        </w:tc>
      </w:tr>
      <w:tr w:rsidR="00591B7F" w:rsidRPr="00CB6E75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7F" w:rsidRPr="00CB6E75" w:rsidRDefault="00561E2D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91B7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алендарн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ый план</w:t>
            </w:r>
            <w:r w:rsidR="00591B7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государственной молодежной политики на 2015 год, утвержденный приказом </w:t>
            </w:r>
            <w:r w:rsidR="008B7CC4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Министерства по делам молодежи и спорту Республики Татарстан </w:t>
            </w:r>
            <w:r w:rsidR="00591B7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от 27.01.2015 № 43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7F" w:rsidRPr="00CB6E75" w:rsidRDefault="00591B7F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молодежный музыкально-поэтический фестиваль имени Рустема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Бикмуллина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91B7F" w:rsidRPr="00CB6E75" w:rsidRDefault="00591B7F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Бика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Фест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7F" w:rsidRPr="00CB6E75" w:rsidRDefault="00591B7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организуется Татарстанским республиканским молодежным общественным фондом «Сәләт» при поддержке Министерства по делам молодежи и спорту Республики Татарстан, Института филологии и межкультурной коммуникации Казанского (Приволжского) федерального университета и ОАО «Казанский завод синтетического каучука». Мероприятие направлено на выявление одаренных детей и молодежи в области самодеятельной песни и поэзии, оказание им практической помощи в развитии.  Конкурс проводился по 6 номинациям в двух возрастных категориях: от 12 по 16 лет, от 17 по 25 лет: лучший автор-исполнитель песни, лучший исполнитель бардовской песни, лучший коллектив-исполнитель песни, лучший исполнитель татарской народной песни, лучший чтец своего произведения, лучший чтец произведения других авторов.</w:t>
            </w:r>
          </w:p>
          <w:p w:rsidR="00591B7F" w:rsidRPr="00CB6E75" w:rsidRDefault="00591B7F" w:rsidP="00CB6E75">
            <w:pPr>
              <w:pStyle w:val="a6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CB6E75">
              <w:rPr>
                <w:sz w:val="20"/>
                <w:szCs w:val="20"/>
              </w:rPr>
              <w:t xml:space="preserve">Участниками конкурса стали школьники, студенты и молодые специалисты из муниципальных образований Республики Татарстан, а также из Республики Башкирии. В </w:t>
            </w:r>
            <w:proofErr w:type="gramStart"/>
            <w:r w:rsidRPr="00CB6E75">
              <w:rPr>
                <w:sz w:val="20"/>
                <w:szCs w:val="20"/>
              </w:rPr>
              <w:t>рамках</w:t>
            </w:r>
            <w:proofErr w:type="gramEnd"/>
            <w:r w:rsidRPr="00CB6E75">
              <w:rPr>
                <w:sz w:val="20"/>
                <w:szCs w:val="20"/>
              </w:rPr>
              <w:t xml:space="preserve"> программы конкурса организованы мастер-классы с известными деятелями культуры и творческие мастерские.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1B7F" w:rsidRPr="00CB6E75" w:rsidRDefault="00837839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7F" w:rsidRPr="00CB6E75" w:rsidRDefault="00591B7F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7F" w:rsidRPr="00CB6E75" w:rsidRDefault="00837839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7F" w:rsidRPr="00CB6E75" w:rsidRDefault="00591B7F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7F" w:rsidRPr="00CB6E75" w:rsidRDefault="00591B7F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7F" w:rsidRPr="00CB6E75" w:rsidRDefault="00591B7F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7F" w:rsidRPr="00CB6E75" w:rsidRDefault="00591B7F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8C6F71" w:rsidRPr="00CB6E75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71" w:rsidRPr="00CB6E75" w:rsidRDefault="00561E2D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r w:rsidR="008C6F71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мероприятий государственной молодежной политики на 2015 год, утвержденный приказом </w:t>
            </w:r>
            <w:r w:rsidR="00317E83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Министерства по делам молодежи и спорту Республики Татарстан </w:t>
            </w:r>
            <w:r w:rsidR="008C6F71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от 27.01.2015 № 43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71" w:rsidRPr="00CB6E75" w:rsidRDefault="008C6F71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Татарская детская школа лидера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71" w:rsidRPr="00CB6E75" w:rsidRDefault="008C6F7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направлено на выявление, оказание поддержки татарским детям, активистам татарских молодежных организаций (объединений), создание отдельного направления по работе с татарскими детьми при Национально-культурных автономиях татар в регионах компактного проживания татар.</w:t>
            </w:r>
          </w:p>
          <w:p w:rsidR="008C6F71" w:rsidRPr="00CB6E75" w:rsidRDefault="008C6F7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</w:t>
            </w:r>
            <w:r w:rsidR="00317E83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лидера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приняли участие 60 детей-активистов, учащихся 6-11 классов, проживающи</w:t>
            </w:r>
            <w:r w:rsidR="00317E83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регионах Российской Федерации, странах ближнего и дальнего Зарубежья, принимающи</w:t>
            </w:r>
            <w:r w:rsidR="00317E83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активное участие в общественной и культурной жизни своего региона. Также приглашались участники профильной смены «Милләтебез хәзинәләре-2015», активно проявившие себя в течение смены.</w:t>
            </w:r>
          </w:p>
          <w:p w:rsidR="008C6F71" w:rsidRPr="00CB6E75" w:rsidRDefault="008C6F7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Для участников смены были организованы: лекции и практические занятия; встречи с представителями татарской интеллигенции; культурные мероприятия.</w:t>
            </w:r>
          </w:p>
          <w:p w:rsidR="008C6F71" w:rsidRPr="00CB6E75" w:rsidRDefault="008C6F7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смены участники разрабатывали проекты на разные темы, которые защищали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смены.</w:t>
            </w:r>
          </w:p>
          <w:p w:rsidR="008C6F71" w:rsidRPr="00CB6E75" w:rsidRDefault="008C6F7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Также участники мероприятия посетили IT-лицей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П)ФУ, Институт филологии и межкультурной коммуникации имени Льва Толстого К(П)ФУ, Литературный музей Г.Тукая, Большой концертный зал имени С.Сайдашева и Татарский государственный академический театр имени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Г.Камала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F71" w:rsidRPr="00CB6E75" w:rsidRDefault="00837839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71" w:rsidRPr="00CB6E75" w:rsidRDefault="008C6F7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71" w:rsidRPr="00CB6E75" w:rsidRDefault="00837839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F71" w:rsidRPr="00CB6E75" w:rsidRDefault="008C6F7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0,357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F71" w:rsidRPr="00CB6E75" w:rsidRDefault="008C6F7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0,357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71" w:rsidRPr="00CB6E75" w:rsidRDefault="008C6F7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71" w:rsidRPr="00CB6E75" w:rsidRDefault="008C6F71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37839" w:rsidRPr="00CB6E75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C6C4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мероприятий государственной молодежной политики на 2015 год, утвержденный приказом Министерства по делам молодежи и спорту Республики Татарстан от 27.01.2015 № 43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Зимняя профильная смена активистов детских общественных организаций Республики Татарстан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29 ноября по 02 декабря в ГАУ «Молодежный центр «Волга» состоялась зимняя профильная смена активистов детских общественных организаций Республики Татарстан.  Участниками смены стали лидеры и активисты детского движения из 45 муниципальных районов республики. </w:t>
            </w:r>
          </w:p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заседания были распределены по проектным группам, за каждой были закреплены кураторы. По итогам работы групп участники защищали проекты перед экспертной комиссией.</w:t>
            </w:r>
          </w:p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 в рамках программы мероприятия были организованы ежедневные зарядки, тренинги, мастер-классы с участием лучших тренеров г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азани, обсуждались вопросы развития и поддержки детского общественного движения в Республике Татарстан, подготовки к VI Форуму юных граждан Республики Татарстан, который пройдет в 2016 году.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37839" w:rsidP="00CB6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37839" w:rsidP="00CB6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839" w:rsidRPr="00CB6E75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C6C4B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мероприятий государственной молодежной политики на 2015 год, утвержденный приказом Министерства по делам молодежи и спорту Республики Татарстан от 27.01.2015 № 43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 сессия Академии успеха детей и молодежи «Фәнсар»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 по 07 ноября в ДОЛ «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Байтик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прошла осенняя сессия «Фәнсар». Мероприятие направлено на индивидуализацию учебного процесса для каждого ребенка, предоставление нового формата возможностей получения знаний.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программы данной сессии прошли уроки по математике, химии, биологии, физик</w:t>
            </w:r>
            <w:r w:rsidR="00643B21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обществознанию, истории, а также мастер-классы по стандартам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тренинги личностного роста, встреча с представителями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Yandex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интеллектуальные игры, научные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-комнаты, прошли встречи с мастерами своего дела по стандартам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: старинн</w:t>
            </w:r>
            <w:r w:rsidR="00643B21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</w:t>
            </w:r>
            <w:r w:rsidR="00643B21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изготовления ичигов, основы  робототехники и др. Также в рамках программы мероприятия организована практическая конференция, на которой участники защищали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проекты. Из 190 заявившихся учеников по достижениям в дистанционной школе и по портфолио были отобраны 45 человек - школьники 9-11 классов из Республики Татарстан.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37839" w:rsidP="00CB6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37839" w:rsidP="00CB6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1,191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1,191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39" w:rsidRPr="00CB6E75" w:rsidRDefault="00837839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50B" w:rsidRPr="00CB6E75" w:rsidTr="00C14E59">
        <w:trPr>
          <w:gridAfter w:val="12"/>
          <w:wAfter w:w="2506" w:type="pct"/>
          <w:trHeight w:val="227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CB6E75" w:rsidRDefault="00D0050B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 Смертность от болезней системы кровообращения, на 100 тыс. населения</w:t>
            </w:r>
          </w:p>
        </w:tc>
      </w:tr>
      <w:tr w:rsidR="004A213C" w:rsidRPr="00CB6E75" w:rsidTr="004A213C">
        <w:trPr>
          <w:gridAfter w:val="12"/>
          <w:wAfter w:w="2506" w:type="pct"/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21.12.2012 №1014 </w:t>
            </w:r>
          </w:p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01.07.2013 №461 </w:t>
            </w:r>
          </w:p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снижение смертности от болезней системы кровообращения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снижению смертности от </w:t>
            </w:r>
            <w:r w:rsidR="00B32382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болезней системы кровообращения (далее –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БСК</w:t>
            </w:r>
            <w:r w:rsidR="00B32382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реализуются в рамках: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 «Плана мероприятий по сокращению смертности от ишемической болезни сердца в 2015 году»,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мероприятий, направленных на совершенствование медицинской помощи больным с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сердечно-сосудистыми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заболеваниями (реализация порядков оказания медицинской помощи при ОНМК и ОКС). 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остром коронарном синдроме (далее – ОКС) экстренная медицинская помощь с использованием современных технологий (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коронарография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стентирование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коронарных сосудов) организована в 7 многопрофильных государственных автономных учреждениях здравоохранения, являющихся высокотехнологичными медицинскими центрами: в Республиканской клинической больнице, Республиканской клинической больнице № 2, Межрегиональном клинико-диагностическом центре, Городской клинической больнице № 7 г. Казани, Больнице скорой медицинской помощи в г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абережные Челны, Нижнекамской центральной районной многопрофильной больнице, а также в Медсанчасти ОАО «Татнефть» и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льметьевска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Приказом Минздрава РТ от 23.04.2015 № 735 «Об организации экстренной медицинской помощи взрослому населению при остром инфаркте миокарда и нестабильной стенокардии в Республике Татарстан» обеспечен охват всей территории республики оказанием экстренной медицинской </w:t>
            </w:r>
            <w:r w:rsidR="00B32382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эвакуацией больных с острым инфарктом миокарда для проведения вмешательств на коронарных сосудах. За 11 мес. 2015г. в указанные медицинские учреждения госпитализировано 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9 557 пациентов с острым коронарным синдромом, в том числе 4 079 чел. с острым инфарктом миокарда, выполнено 4 573 экстренных диагностических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коронарографий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3 214 экстренных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стентирований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коронарных артерий. Госпитальная летальность больных с острым инфарктом миокарда составила 6,4%.  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Продолжается реализация мероприятий по совершенствованию системы оказания медицинской помощи больным </w:t>
            </w:r>
            <w:r w:rsidR="00B32382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острым нарушени</w:t>
            </w:r>
            <w:r w:rsidR="00B32382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мозгового кровообращения (далее – ОНМК), начатых в 2008 году. В настоящее время в республике функционируют 17 неврологических отделений для больных с ОНМК. 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За 11 мес. 2015 г. госпитализированы 13 566 чел. (2014</w:t>
            </w:r>
            <w:r w:rsidR="00466E8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– 12 592), проведено 376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тромболизисов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ишемическом инсульте (2014</w:t>
            </w:r>
            <w:r w:rsidR="00466E8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г. – 317).</w:t>
            </w:r>
          </w:p>
          <w:p w:rsidR="00F20741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 летальность больных ОНМК в сосудистых центрах составила 10,6% (2014 г. - 10,6%).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B70BF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629,8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629,8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A213C" w:rsidRPr="00CB6E75" w:rsidTr="00AF77BC">
        <w:trPr>
          <w:trHeight w:val="293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 Смертность от новообразований (в том числе злокачественных), на 100 тыс. населения</w:t>
            </w:r>
            <w:r w:rsidR="00F20741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7" w:type="pct"/>
            <w:gridSpan w:val="4"/>
          </w:tcPr>
          <w:p w:rsidR="004A213C" w:rsidRPr="00CB6E75" w:rsidRDefault="004A213C" w:rsidP="00CB6E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4"/>
          </w:tcPr>
          <w:p w:rsidR="004A213C" w:rsidRPr="00CB6E75" w:rsidRDefault="004A213C" w:rsidP="00CB6E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A213C" w:rsidRPr="00CB6E75" w:rsidRDefault="004A213C" w:rsidP="00CB6E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A213C" w:rsidRPr="00CB6E75" w:rsidRDefault="004A213C" w:rsidP="00CB6E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A213C" w:rsidRPr="00CB6E75" w:rsidRDefault="004A213C" w:rsidP="00CB6E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4A213C" w:rsidRPr="00CB6E75" w:rsidRDefault="004A213C" w:rsidP="00CB6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3C" w:rsidRPr="00CB6E75" w:rsidTr="00F20741">
        <w:trPr>
          <w:gridAfter w:val="12"/>
          <w:wAfter w:w="2506" w:type="pct"/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01.07.2013 № 461 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снижение смертности от новообразований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71" w:rsidRPr="00CB6E75" w:rsidRDefault="00322E7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снижения смертности проводится ряд системных мероприятий.</w:t>
            </w:r>
          </w:p>
          <w:p w:rsidR="00322E71" w:rsidRPr="00CB6E75" w:rsidRDefault="00322E7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учреждений здравоохранения первичной медико-санитарной помощи работают 70 первичных онкологических кабинетов, 6 первичных онкологических отделений, 3 межмуниципальных онкологических отделения (на функциональной основе). За 11 месяцев 2015 г. в первичных онкологических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кабинетах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было осмотрено 237 899 человек. В Республиканский клинический онкологический диспансер для уточнения диагноза направлено 35 017 пациентов, что составило 14,7% от числа обратившихся в первичные онкологические кабинеты, из них у 31,6% диагноз был подтвержден.</w:t>
            </w:r>
          </w:p>
          <w:p w:rsidR="00322E71" w:rsidRPr="00CB6E75" w:rsidRDefault="00322E7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государственных гарантий бесплатного оказания гражданам медицинской помощи на территории Республики Татарстан на 2015 год и на плановый период 2016 и 2017 годов за 11 месяцев 2015 года проведены:</w:t>
            </w:r>
          </w:p>
          <w:p w:rsidR="00322E71" w:rsidRPr="00CB6E75" w:rsidRDefault="00322E7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цитологические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скрининговые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обследования женщин от 18 лет и старше на выявление патологии шейки матки в рамках первичных посещений к акушерам-гинекологам и акушеркам (фельдшерам) смотровых кабинетов с периодичностью 1 раз в 2 года (обследовано 519 056 женщин, выявлен рак шейки матки у 105 женщин, или 0,02%, и предраковая патология – у 6 499 женщин или 1,3 % обследованных);</w:t>
            </w:r>
            <w:proofErr w:type="gramEnd"/>
          </w:p>
          <w:p w:rsidR="00322E71" w:rsidRPr="00CB6E75" w:rsidRDefault="00322E7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мамаммографические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скрининговые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обследования 6 175 женщин (выявлен рак молочной железы у 58 женщин, или 0,94%, патология доброкачественного характера 174 случаев </w:t>
            </w:r>
            <w:r w:rsidR="00AF77BC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или 2,8 % от числа обследованных).</w:t>
            </w:r>
          </w:p>
          <w:p w:rsidR="00322E71" w:rsidRPr="00CB6E75" w:rsidRDefault="00322E7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ядерной медицины, на базе которого открыто отделение позитронно-эмиссионной томографии (ПЭТ-центр), за 11 месяцев 2015 г. проведены ПЭТ-исследования 3 970 пациентам.</w:t>
            </w:r>
          </w:p>
          <w:p w:rsidR="00322E71" w:rsidRPr="00CB6E75" w:rsidRDefault="00322E7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отделении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радионуклидной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терапии радиоактивными изотопами йода-131 и стронция-89 за 11 месяцев 2015 г. пролечено 369 пациентов (рак щитовидной железы – 150, тиреотоксикоз – 204, метастазы в кости – 15).</w:t>
            </w:r>
          </w:p>
          <w:p w:rsidR="004A213C" w:rsidRPr="00CB6E75" w:rsidRDefault="00322E7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целью повышения настороженности в отношении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онкопатологии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11 месяцев 2015 года проведены циклы повышения квалификации по онкологии для 162 врачей различных специальностей.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до 2018 года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B70BF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F20741" w:rsidP="00CB6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F2074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A213C" w:rsidRPr="00CB6E75" w:rsidTr="001022DF">
        <w:trPr>
          <w:trHeight w:val="291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 Смертность от туберкулеза, на 100 тыс. населения</w:t>
            </w:r>
          </w:p>
        </w:tc>
        <w:tc>
          <w:tcPr>
            <w:tcW w:w="437" w:type="pct"/>
            <w:gridSpan w:val="4"/>
          </w:tcPr>
          <w:p w:rsidR="004A213C" w:rsidRPr="00CB6E75" w:rsidRDefault="004A213C" w:rsidP="00CB6E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4"/>
          </w:tcPr>
          <w:p w:rsidR="004A213C" w:rsidRPr="00CB6E75" w:rsidRDefault="004A213C" w:rsidP="00CB6E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A213C" w:rsidRPr="00CB6E75" w:rsidRDefault="004A213C" w:rsidP="00CB6E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A213C" w:rsidRPr="00CB6E75" w:rsidRDefault="004A213C" w:rsidP="00CB6E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A213C" w:rsidRPr="00CB6E75" w:rsidRDefault="004A213C" w:rsidP="00CB6E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4A213C" w:rsidRPr="00CB6E75" w:rsidRDefault="004A213C" w:rsidP="00CB6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3C" w:rsidRPr="00CB6E75" w:rsidTr="004A213C">
        <w:trPr>
          <w:gridAfter w:val="12"/>
          <w:wAfter w:w="2506" w:type="pct"/>
          <w:trHeight w:val="73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30.03.2013 №557-р 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01.07.2013 №461 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снижение смертности от туберкулеза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DF" w:rsidRPr="00CB6E75" w:rsidRDefault="001022D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11 мес. 2015г. при профилактических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осмотрах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выявлено 882 больных туберкулезом, что составило 62,1% от 1420 впервые выявленных больных туберкулезом.</w:t>
            </w:r>
          </w:p>
          <w:p w:rsidR="001022DF" w:rsidRPr="00CB6E75" w:rsidRDefault="001022D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11 мес. 2015г обследовано впервые выявленные  больных с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бактериовыделением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лекарственную чувствительность до начала лечения – 580 чел. </w:t>
            </w:r>
          </w:p>
          <w:p w:rsidR="001022DF" w:rsidRPr="00CB6E75" w:rsidRDefault="001022D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августа 2015г. получено санитарно-эпидемиологическое разрешение на молекулярно – генетические исследования. Прошли тестирование молекулярно-генетическими методами 92 больных с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бактериовыделением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впервые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сентябре-ноябре  2015г.</w:t>
            </w:r>
          </w:p>
          <w:p w:rsidR="001022DF" w:rsidRPr="00CB6E75" w:rsidRDefault="001022D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11 мес. 2015г прошли тестирование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культуральным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методом на жидких средах – 512 больных.</w:t>
            </w:r>
          </w:p>
          <w:p w:rsidR="001022DF" w:rsidRPr="00CB6E75" w:rsidRDefault="001022D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больных с множественной лекарственной устойчивостью возбудителя (МЛУ) и широкой лекарственной устойчивостью возбудителя (ШЛУ), зарегистрированных для лечения по IV и V режимам химиотерапии в 2012г. – 186, из них эффективно закончили лечение – 88 (47,3%).</w:t>
            </w:r>
          </w:p>
          <w:p w:rsidR="001022DF" w:rsidRPr="00CB6E75" w:rsidRDefault="001022D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взрослого населения профилактическими флюорографическими осмотрами с целью выявления туберкулеза   за 9 месяцев  2015г. составил 96,8% от  плана 9 месяцев  2015г.</w:t>
            </w:r>
          </w:p>
          <w:p w:rsidR="001022DF" w:rsidRPr="00CB6E75" w:rsidRDefault="001022D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детского населения массовой иммунодиагностикой с целью выявления туберкулеза за 9 месяцев  2015г. составил 95,1% от  плана 9 месяцев 2015г </w:t>
            </w:r>
          </w:p>
          <w:p w:rsidR="001022DF" w:rsidRPr="00CB6E75" w:rsidRDefault="001022D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новорожденных первичной вакцинацией против туберкулеза в  за 9 месяцев  2015г. составил 97,9%.</w:t>
            </w:r>
          </w:p>
          <w:p w:rsidR="001022DF" w:rsidRPr="00CB6E75" w:rsidRDefault="001022D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Госпитализация впервые выявленных больных туберкулезом за 9 месяцев 2015г. составила 92,5%</w:t>
            </w:r>
          </w:p>
          <w:p w:rsidR="004A213C" w:rsidRPr="00CB6E75" w:rsidRDefault="001022D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Республиканского клинического противотуберкулезного диспансера 01.06.2014 открыто отделение паллиативной медицинской (фтизиатрической) помощи.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отделения стационарная паллиативная фтизиатрическая помощь за 11 месяцев 2015 г. оказана 148 больным туберкулезом.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B70BF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4A10EF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773,83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4A10EF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773,83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A213C" w:rsidRPr="00CB6E75" w:rsidTr="00C14E59">
        <w:trPr>
          <w:gridAfter w:val="12"/>
          <w:wAfter w:w="2506" w:type="pct"/>
          <w:trHeight w:val="346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 Смертность от дорожно-транспортных происшествий, на 100 тыс. населения</w:t>
            </w:r>
          </w:p>
        </w:tc>
      </w:tr>
      <w:tr w:rsidR="004A213C" w:rsidRPr="00CB6E75" w:rsidTr="004A213C">
        <w:trPr>
          <w:gridAfter w:val="12"/>
          <w:wAfter w:w="2506" w:type="pct"/>
          <w:trHeight w:val="182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16.10.2013 №764 «Об утверждении государственной программы «Обеспечение общественного порядка и противодействие преступности в Республике Татарстан на 2014-2020 годы» 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снижение смертности от дорожно-транспортных происшествий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EF" w:rsidRPr="00CB6E75" w:rsidRDefault="004A10E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Республиканским центром медицины катастроф (далее – РЦМК) осуществляется ежедневное оперативное взаимодействие с экстренными службами.</w:t>
            </w:r>
          </w:p>
          <w:p w:rsidR="004A10EF" w:rsidRPr="00CB6E75" w:rsidRDefault="004A10E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 11 мес.2015</w:t>
            </w:r>
            <w:r w:rsidR="008659D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системе ГЛОНАСС + 112: выездов на ДТП - 5785, из них  с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доездом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20 минут  5326, что составило 92%.</w:t>
            </w:r>
          </w:p>
          <w:p w:rsidR="004A10EF" w:rsidRPr="00CB6E75" w:rsidRDefault="004A10E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 ГИБДД оказали помощь в 43 случаях из 82.</w:t>
            </w:r>
          </w:p>
          <w:p w:rsidR="004A10EF" w:rsidRPr="00CB6E75" w:rsidRDefault="004A10E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Переводы -13, перехваты  - 17.</w:t>
            </w:r>
          </w:p>
          <w:p w:rsidR="004A10EF" w:rsidRPr="00CB6E75" w:rsidRDefault="004A10E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учебно-методическом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РЦМК за 12 мес. 2015</w:t>
            </w:r>
            <w:r w:rsidR="008659D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г. проведено обучение навыкам оказания первой и медицинской помощи в условиях чрезвычайной ситуации 1137 чел, из них: 60 фельдшеров скорой медицинской помощи, водителей СМП РТ – 48; 50 врачей РКБ, 85 медицинского персонала ГАУЗ «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Актанышская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ЦРБ», 8 врачей предприятий; навыкам оказания первой помощи в рамках мастер-классов 348 чел. (сотрудники МЧС, МВД, ФСБ, сотрудники железнодорожных, автовокзалов, речных портов), проведение мастер-класса на сборе кадетов «Союз-2015» - 350 чел; сотрудников МЧС – 25 чел; служба безопасности Президента РТ – 60 чел; сотрудники ГИБДД МВД по РТ – 21 чел; детей «ЮИТ»-4 чел, «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Автомногоборье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Россия» – 8 чел.,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ерсонал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РЦМК- 12 чел, УФСБ </w:t>
            </w:r>
            <w:r w:rsidR="008659D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 РТ- 18 чел, диспетчера ЕДДС «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 w:rsidR="008659DF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- 40 чел.</w:t>
            </w:r>
          </w:p>
          <w:p w:rsidR="008659DF" w:rsidRPr="00CB6E75" w:rsidRDefault="004A10EF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Проводится ежедневный мониторинг маршрутизации пострадавших.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B70BF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A213C" w:rsidRPr="00CB6E75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 Младенческая смертность, случаев на 1000 родившихся живыми</w:t>
            </w:r>
          </w:p>
        </w:tc>
      </w:tr>
      <w:tr w:rsidR="004A213C" w:rsidRPr="00CB6E75" w:rsidTr="00CB6E75">
        <w:trPr>
          <w:gridAfter w:val="12"/>
          <w:wAfter w:w="2506" w:type="pct"/>
          <w:trHeight w:val="1191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21.12.2012 №1014</w:t>
            </w:r>
          </w:p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ПКМРТ от 01.07.2013 №461 «Об утверждении государственной программы «Развитие здравоохранения Республики Татарстан до 2020 года»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направленные на снижение младенческой смертности </w:t>
            </w: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Неонатальный скрининг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приоритетного национального проекта «Здоровье». Охват неонатальным скринингом за   8 месяцев  2015 г. составил   95,8%.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 8 месяцев  2015 г. проведено  35 760 исследований новорожденных на врожденные наследственные заболевания, выявлен 21 случай патологии (адреногенитальный синдром – 1, врожденный гипотиреоз – 14,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галактоземия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фенилкетонурии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муковисцидоза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- 4).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За 9 мес. 2015 г. проведены 3 Республиканских Совета по анализу случаев мертворождаемости, 3 Координационных совета Министерства здравоохранения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Републики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Татарстан по организации медицинской помощи детям и женщинам Республики Татарстан,   3 заседания штаба по младенческой смертности.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17.02.2015 проведено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видеоселекторное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совещание по снижению младенческой смертности в Республике Татарстан;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проведены республиканские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селекторние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совещания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видеоконференции по темам «Неонатология первых дней», «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Энтеральное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питание новорожденных детей»,  «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Парэнтеральное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питание новорожденных детей»,  «Лечение  полицитемии у новорожденных» и «Геморрагическая болезнь новорожденных»,  «Гемолитическая болезнь новорожденных детей».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B70BF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C7314A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554,5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C7314A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554,5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A213C" w:rsidRPr="00CB6E75" w:rsidTr="00C14E59">
        <w:trPr>
          <w:gridAfter w:val="12"/>
          <w:wAfter w:w="2506" w:type="pct"/>
          <w:trHeight w:val="794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23.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образования), %</w:t>
            </w:r>
            <w:proofErr w:type="gramEnd"/>
          </w:p>
        </w:tc>
      </w:tr>
      <w:tr w:rsidR="004A213C" w:rsidRPr="00CB6E75" w:rsidTr="004A213C">
        <w:trPr>
          <w:gridAfter w:val="12"/>
          <w:wAfter w:w="2506" w:type="pct"/>
          <w:trHeight w:val="34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РКМ РТ от 18.09.2013 № 1780-р «О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пообъективном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распределении средств на проведение мероприятий по модернизации региональной системы дошкольного образования»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региональных систем дошкольного образования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Распоряжением Кабинета Министров РТ от 09.12.2014 № 2525-р утвержден перечень объектов для создания в 2015 г. 11965 дополнительных дошкольных мест за счет республиканского бюджета и федеральной субсидии:</w:t>
            </w:r>
          </w:p>
          <w:p w:rsidR="004A213C" w:rsidRPr="00CB6E75" w:rsidRDefault="004A213C" w:rsidP="00CB6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строительство детских садов: 73 объекта на 10240 мест;</w:t>
            </w:r>
          </w:p>
          <w:p w:rsidR="004A213C" w:rsidRPr="00CB6E75" w:rsidRDefault="004A213C" w:rsidP="00CB6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 капитальный ремонт под размещение детских садов: 16 объектов на 900 мест;</w:t>
            </w:r>
          </w:p>
          <w:p w:rsidR="004A213C" w:rsidRPr="00CB6E75" w:rsidRDefault="004A213C" w:rsidP="00CB6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- дополнительные группы в функционирующих детских садах: 38 объектов на 825 мест.</w:t>
            </w:r>
          </w:p>
          <w:p w:rsidR="00A857F5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="00A655E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25.12.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введено </w:t>
            </w:r>
            <w:r w:rsidR="00A655E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детских садов</w:t>
            </w:r>
            <w:r w:rsidR="00A655E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9500 мест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 отремонтировано 1</w:t>
            </w:r>
            <w:r w:rsidR="00A655E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зданий</w:t>
            </w:r>
            <w:r w:rsidR="00A655E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900 мест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 открыты  дополнительные группы</w:t>
            </w:r>
            <w:r w:rsidR="00A655E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38 действующих</w:t>
            </w:r>
            <w:r w:rsidR="00A857F5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4C9A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дошкольных образовательных организациях</w:t>
            </w:r>
            <w:r w:rsidR="00A857F5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825 мест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B70BF1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4A213C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3990,6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4A213C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3990,6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A213C" w:rsidRPr="00CB6E75" w:rsidRDefault="004A213C" w:rsidP="00CB6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A213C" w:rsidRPr="00CB6E75" w:rsidTr="00C14E59">
        <w:trPr>
          <w:gridAfter w:val="12"/>
          <w:wAfter w:w="2506" w:type="pct"/>
          <w:trHeight w:val="599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24. Доля занятого населения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возрасте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группы, %</w:t>
            </w:r>
          </w:p>
        </w:tc>
      </w:tr>
      <w:tr w:rsidR="004A213C" w:rsidRPr="00CB6E75" w:rsidTr="004A213C">
        <w:trPr>
          <w:gridAfter w:val="12"/>
          <w:wAfter w:w="2506" w:type="pct"/>
          <w:trHeight w:val="7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21.11.2012 г. №1014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«Повышение квалификации и (или) профессиональная подготовка населения в возрасте от 25 до 65 лет, занятого в области экономики»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23" w:rsidRPr="00CB6E75" w:rsidRDefault="004F2E23" w:rsidP="00CB6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В 2015 г. на базе организаций дополнительного профессионального образования республики прошли повышение квалификации:</w:t>
            </w:r>
          </w:p>
          <w:p w:rsidR="004F2E23" w:rsidRPr="00CB6E75" w:rsidRDefault="004F2E23" w:rsidP="00CB6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4 406 чел. из числа руководящих и  педагогических работников дошкольного образования, </w:t>
            </w:r>
          </w:p>
          <w:p w:rsidR="004A213C" w:rsidRPr="00CB6E75" w:rsidRDefault="004F2E23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15 253 чел. из числа руководящих и педагогических работников общего образования, 406 чел.  из числа педагогических  работников организаций дополнительного  образования детей, 1 337 чел. из числа педагогических работников профессиональных образовательных учреждений, подведомственных </w:t>
            </w:r>
            <w:r w:rsidR="00BD4C9A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Министерству образования и науки Республики Татарстан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 280 чел. из числа педагогических работников специальных (коррекционных) учреждений.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B70BF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4F2E23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rPr>
                <w:sz w:val="20"/>
                <w:szCs w:val="20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A213C" w:rsidRPr="00CB6E75" w:rsidTr="00C14E59">
        <w:trPr>
          <w:gridAfter w:val="12"/>
          <w:wAfter w:w="2506" w:type="pct"/>
          <w:trHeight w:val="346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25. Доля детей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возрасте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 5 до 18 лет, обучающихся по дополнительным образовательным программам, в общей численности детей этого возраста, %</w:t>
            </w:r>
          </w:p>
        </w:tc>
      </w:tr>
      <w:tr w:rsidR="004A213C" w:rsidRPr="00CB6E75" w:rsidTr="004A213C">
        <w:trPr>
          <w:gridAfter w:val="12"/>
          <w:wAfter w:w="2506" w:type="pct"/>
          <w:trHeight w:val="2328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21.11.2012 г. №1014.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№ 252 от 14.04.2015 «Об утверждении Плана мероприятий по реализации третьего этапа Стратегии развития образования в Республике Татарстан на 2010 - 2015 годы «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Килчек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» - «Будущее» на 2015 год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мероприятий по реализации второго этапа Стратегии развития образования в Республике Татарстан на 2010-2015 годы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50" w:rsidRPr="00CB6E75" w:rsidRDefault="002D0D50" w:rsidP="00CB6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/>
                <w:sz w:val="20"/>
                <w:szCs w:val="20"/>
              </w:rPr>
              <w:t>В Республике Татарстан без учета ведомственной принадлежности работает 428 учреждений дополнительного образования детей, в которых занимается 323617 учащихся, что составляет 87,4% от их общего количества (в том числе в системе образования функционирует 158 образовательных организаций дополнительного образования детей с охватом 198153 человек).</w:t>
            </w:r>
          </w:p>
          <w:p w:rsidR="002D0D50" w:rsidRPr="00CB6E75" w:rsidRDefault="002D0D50" w:rsidP="00CB6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/>
                <w:sz w:val="20"/>
                <w:szCs w:val="20"/>
              </w:rPr>
              <w:t>Из них 9 негосударственных организаций дополнительного образования детей, в которых занимается 3191 человек (6 – спортшкол, 3 – организации художественно-эстетического направления).</w:t>
            </w:r>
          </w:p>
          <w:p w:rsidR="004A213C" w:rsidRPr="00CB6E75" w:rsidRDefault="002D0D50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/>
                <w:sz w:val="20"/>
                <w:szCs w:val="20"/>
              </w:rPr>
              <w:t>В системе дополнительного образования детей занято  9176 педагогических работников, в том числе в системе образования - 3500; в системе культуры-2452; спорта -  3124чл., в негосударственных организациях  - 100 чел</w:t>
            </w:r>
            <w:proofErr w:type="gramStart"/>
            <w:r w:rsidRPr="00CB6E75">
              <w:rPr>
                <w:rFonts w:ascii="Times New Roman" w:eastAsia="Times New Roman" w:hAnsi="Times New Roman"/>
                <w:sz w:val="20"/>
                <w:szCs w:val="20"/>
              </w:rPr>
              <w:t>..</w:t>
            </w:r>
            <w:r w:rsidRPr="00CB6E7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B70BF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3C" w:rsidRPr="00CB6E75" w:rsidRDefault="00812945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A213C" w:rsidRPr="00CB6E75" w:rsidTr="00C14E59">
        <w:trPr>
          <w:gridAfter w:val="12"/>
          <w:wAfter w:w="2506" w:type="pct"/>
          <w:trHeight w:val="499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 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организаций, %</w:t>
            </w:r>
          </w:p>
        </w:tc>
      </w:tr>
      <w:tr w:rsidR="004A213C" w:rsidRPr="00CB6E75" w:rsidTr="004A213C">
        <w:trPr>
          <w:gridAfter w:val="12"/>
          <w:wAfter w:w="2506" w:type="pct"/>
          <w:trHeight w:val="175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54" w:rsidRPr="00CB6E75" w:rsidRDefault="00D11654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Кабинета Министров Республики Татарстан от 19.05.2015 №358 «О внесении изменений в Государственную программу «Социальная поддержка граждан Республики Татарстан на 2014 – 2020 годы, утвержденную постановлением Кабинета Министров Республики Татарстан от 23.12.2013 №1023 «Об утверждении Государственной программы «Социальная поддержка граждан Республики Татарстан на 2014 – 2020 годы».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РТ№ 786 от 22.09.2011 «Об утверждении долгосрочной целевой программы Республики Татарстан «Доступная среда» на 2011-2015 годы»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Адаптация зданий образовательных организаций среднего профессионального образования к использованию маломобильными группами населения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54" w:rsidRPr="00CB6E75" w:rsidRDefault="00D11654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В 2015 году адаптировано:</w:t>
            </w:r>
          </w:p>
          <w:p w:rsidR="00D11654" w:rsidRPr="00CB6E75" w:rsidRDefault="00D11654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5314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B6E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зданий (помещений) профессиональных образовательных организаций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услуг; </w:t>
            </w:r>
          </w:p>
          <w:p w:rsidR="00D11654" w:rsidRPr="00CB6E75" w:rsidRDefault="00A15314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D11654" w:rsidRPr="00CB6E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здания общежития; </w:t>
            </w:r>
          </w:p>
          <w:p w:rsidR="00D11654" w:rsidRPr="00CB6E75" w:rsidRDefault="00A15314" w:rsidP="00CB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D11654" w:rsidRPr="00CB6E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МОУ ДОД «Дворец школьников» Арского района Республики Татарстан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CB6E7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B70BF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FD" w:rsidRPr="00CB6E75" w:rsidRDefault="000D50FD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  <w:r w:rsidR="00984244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FD" w:rsidRPr="00CB6E75" w:rsidRDefault="000D50FD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6E7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0,41</w:t>
            </w:r>
            <w:r w:rsidR="00984244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B7" w:rsidRPr="00CB6E75" w:rsidRDefault="00984244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2D5AB7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по состоянию на 13.01.2016.</w:t>
            </w:r>
          </w:p>
          <w:p w:rsidR="002D5AB7" w:rsidRPr="00CB6E75" w:rsidRDefault="002D5AB7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На сегодняшний день ведутся работы по принятию отчетной документации КС-2.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A213C" w:rsidRPr="00CB6E75" w:rsidTr="00C14E59">
        <w:trPr>
          <w:gridAfter w:val="12"/>
          <w:wAfter w:w="2506" w:type="pct"/>
          <w:trHeight w:val="284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28. Доля заемных средств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общем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объеме капитальных вложений в системы теплоснабжения, водоснабжения, водоотведения и очистки сточных вод, %</w:t>
            </w:r>
          </w:p>
        </w:tc>
      </w:tr>
      <w:tr w:rsidR="004A213C" w:rsidRPr="00CB6E75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29.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лет), лет*</w:t>
            </w:r>
            <w:proofErr w:type="gramEnd"/>
          </w:p>
        </w:tc>
      </w:tr>
      <w:tr w:rsidR="004A213C" w:rsidRPr="00CB6E75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 Средняя стоимость 1 квадратного метра общей площади жилья эконом-класс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а(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Снижение стоимости одного квадратного метра жилья на 20 процентов путем увеличения объема ввода в эксплуатацию жилья экономического класса)*</w:t>
            </w:r>
          </w:p>
        </w:tc>
      </w:tr>
      <w:tr w:rsidR="004A213C" w:rsidRPr="00CB6E75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31. Объем ввода жилья по стандартам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эконом-класса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%*</w:t>
            </w:r>
          </w:p>
        </w:tc>
      </w:tr>
      <w:tr w:rsidR="004A213C" w:rsidRPr="00CB6E75" w:rsidTr="00C14E59">
        <w:trPr>
          <w:gridAfter w:val="12"/>
          <w:wAfter w:w="2506" w:type="pct"/>
          <w:trHeight w:val="487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 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я(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доступного и комфортного жилья 60 процентам российский семей, желающих улучшить свои жилищные условия)*</w:t>
            </w:r>
          </w:p>
        </w:tc>
      </w:tr>
      <w:tr w:rsidR="004A213C" w:rsidRPr="00CB6E75" w:rsidTr="004A213C">
        <w:trPr>
          <w:gridAfter w:val="12"/>
          <w:wAfter w:w="2506" w:type="pct"/>
          <w:trHeight w:val="394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ПКМ РТ от 18.12.2007 № 732 «О мерах по обеспечению жильем многодетных семей, нуждающихся в улучшении жилищных условий, детей-сирот и детей, оставшихся без попечения родителей, а также лиц из числа детей-сирот и детей, оставшихся без попечения родителей, не имеющих закрепленного за ними жилого помещения»</w:t>
            </w:r>
          </w:p>
          <w:p w:rsidR="00CB6E75" w:rsidRDefault="00CB6E7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E75" w:rsidRDefault="00CB6E7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E75" w:rsidRDefault="00CB6E7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E75" w:rsidRDefault="00CB6E7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E75" w:rsidRDefault="00CB6E7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E75" w:rsidRDefault="00CB6E7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E75" w:rsidRDefault="00CB6E7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E75" w:rsidRPr="00CB6E75" w:rsidRDefault="00CB6E75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жилищных сертификатов многодетным семьям, имеющим 5 и более детей 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Законом Республики Татарстан от 27 ноября 2014 года № 107-ЗРТ «О бюджете Республики Татарстан на 2015 год и на плановый период 2016 и 2017 годов» на обеспечение жилыми помещениями многодетных семей, имеющих 5 и более детей, предусмотрено в 2015 году 128,101 млн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уб., в пределах которых оформлено 45 жилищных сертификатов.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B70BF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A213C" w:rsidRPr="00CB6E75" w:rsidTr="00C14E59">
        <w:trPr>
          <w:gridAfter w:val="12"/>
          <w:wAfter w:w="2506" w:type="pct"/>
          <w:trHeight w:val="281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 Уровень удовлетворенности граждан Российской Федерации качеством предоставления государственных и муниципальных услуг, %*</w:t>
            </w:r>
          </w:p>
        </w:tc>
      </w:tr>
      <w:tr w:rsidR="004A213C" w:rsidRPr="00CB6E75" w:rsidTr="00C14E59">
        <w:trPr>
          <w:gridAfter w:val="12"/>
          <w:wAfter w:w="2506" w:type="pct"/>
          <w:trHeight w:val="473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 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%*</w:t>
            </w:r>
          </w:p>
        </w:tc>
      </w:tr>
      <w:tr w:rsidR="004A213C" w:rsidRPr="00CB6E75" w:rsidTr="00C14E59">
        <w:trPr>
          <w:gridAfter w:val="12"/>
          <w:wAfter w:w="2506" w:type="pct"/>
          <w:trHeight w:val="473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 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D71521" w:rsidRPr="00CB6E75" w:rsidTr="004A213C">
        <w:trPr>
          <w:gridAfter w:val="12"/>
          <w:wAfter w:w="2506" w:type="pct"/>
          <w:trHeight w:val="156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21" w:rsidRPr="00CB6E75" w:rsidRDefault="00D7152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КМ РТ от 31.10.2013 № 823 «Об утверждении Государственной программы «Экономическое развитие и инновационная экономика Республики Татарстан на 2014 - 2020 годы»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21" w:rsidRPr="00CB6E75" w:rsidRDefault="00D7152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в РТ 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21" w:rsidRPr="00CB6E75" w:rsidRDefault="00D7152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В Республике Татарстан действуют 50 филиалов Государственного бюджетного учреждения «Многофункциональный центр предоставления государственных и муниципальных услуг в Республике Татарстан» (далее – ГБУ «МФЦ») во всех муниципальных районах и городских округах и 292 удаленных окна приема заявителей в 281 сельском поселении республики с количеством населения более 1 тыс. человек. Количество окон приема МФЦ составляет 995 единиц.</w:t>
            </w:r>
          </w:p>
          <w:p w:rsidR="00D71521" w:rsidRPr="00CB6E75" w:rsidRDefault="00D7152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Созданная система МФЦ обеспечивает целевое значение показателя «Доля граждан, имеющих доступ к получению государственных и муниципальных услуг по принципу </w:t>
            </w:r>
            <w:r w:rsidR="00F82312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одного окна</w:t>
            </w:r>
            <w:r w:rsidR="00F82312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месту пребывания, в том числе в МФЦ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%», 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Указом Президента Российской Федерации В.В.Путина от 07.05.2012 № 601 «Об основных направлениях совершенствования системы государственного управления»,  90%.</w:t>
            </w:r>
          </w:p>
          <w:p w:rsidR="00D71521" w:rsidRPr="00CB6E75" w:rsidRDefault="00D7152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федеральными требованиями в МФЦ предоставляются ряд наиболее востребованных услуг федеральных органов власти (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Кадастровой палаты, Миграционной, Налоговой служб, Пенсионного фонда, Фонда социального страхования, </w:t>
            </w:r>
            <w:proofErr w:type="spell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, информационные услуги МВД, Службы судебных приставов, Государственной инспекции труда), услуги республиканских органов (Управления ЗАГС), все услуги муниципальных органов власти, а также другие услуги.</w:t>
            </w:r>
            <w:proofErr w:type="gramEnd"/>
          </w:p>
          <w:p w:rsidR="00D71521" w:rsidRPr="00CB6E75" w:rsidRDefault="00D7152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предоставляемых в МФЦ услуг постоянно растет. Так, в 2015 году оказано более 1,8 млн. услуг, в два раза больше, чем в 2014 году. Статистика по количеству оказанных услуг ежемесячно размещается в федеральной автоматизированной информационной системе «Мониторинг развития сети МФЦ в субъектах Российской Федерации».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21" w:rsidRPr="00CB6E75" w:rsidRDefault="00D7152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21" w:rsidRPr="00CB6E75" w:rsidRDefault="00D7152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21" w:rsidRPr="00CB6E75" w:rsidRDefault="00B70BF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521" w:rsidRPr="00CB6E75" w:rsidRDefault="00D71521" w:rsidP="00C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0B9" w:rsidRPr="00CB6E75" w:rsidRDefault="00D71521" w:rsidP="00C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B9" w:rsidRPr="00CB6E75" w:rsidRDefault="00D71521" w:rsidP="00C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  <w:r w:rsidR="00984244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21" w:rsidRPr="00CB6E75" w:rsidRDefault="00984244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* Б</w:t>
            </w:r>
            <w:r w:rsidR="00D71521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юджетные обязательства ГБУ «МФЦ» по договорам 2015 года (на содержание имущества, помещений филиалов ГБУ МФЦ) будут оплачены в 2016 году.</w:t>
            </w:r>
          </w:p>
          <w:p w:rsidR="00D71521" w:rsidRPr="00CB6E75" w:rsidRDefault="00D7152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Министерства информатизации и связи Республики Татарстан в размере 6,0 млн. рублей перенесены на 2016 год</w:t>
            </w:r>
          </w:p>
        </w:tc>
      </w:tr>
      <w:tr w:rsidR="004A213C" w:rsidRPr="00CB6E75" w:rsidTr="00C14E59">
        <w:trPr>
          <w:gridAfter w:val="12"/>
          <w:wAfter w:w="2506" w:type="pct"/>
          <w:trHeight w:val="552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36. Среднее число обращений представителей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бизнес-сообщества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раз*</w:t>
            </w:r>
          </w:p>
        </w:tc>
      </w:tr>
      <w:tr w:rsidR="004A213C" w:rsidRPr="00CB6E75" w:rsidTr="00C14E59">
        <w:trPr>
          <w:gridAfter w:val="12"/>
          <w:wAfter w:w="2506" w:type="pct"/>
          <w:trHeight w:val="571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 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услуг, минут*</w:t>
            </w:r>
          </w:p>
        </w:tc>
      </w:tr>
      <w:tr w:rsidR="004A213C" w:rsidRPr="00CB6E75" w:rsidTr="00C14E59">
        <w:trPr>
          <w:gridAfter w:val="12"/>
          <w:wAfter w:w="2506" w:type="pct"/>
          <w:trHeight w:val="356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38. Суммарный коэффициент рождаемости, число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родившихся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1  женщину*</w:t>
            </w:r>
          </w:p>
        </w:tc>
      </w:tr>
      <w:tr w:rsidR="004A213C" w:rsidRPr="00CB6E75" w:rsidTr="00C14E59">
        <w:trPr>
          <w:gridAfter w:val="12"/>
          <w:wAfter w:w="2506" w:type="pct"/>
          <w:trHeight w:val="346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CB6E75" w:rsidRDefault="004A213C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 Ожидаемая продолжительность жизни при рождении, лет</w:t>
            </w:r>
          </w:p>
        </w:tc>
      </w:tr>
      <w:tr w:rsidR="004A213C" w:rsidRPr="00CB6E75" w:rsidTr="005F5143">
        <w:trPr>
          <w:gridAfter w:val="12"/>
          <w:wAfter w:w="2506" w:type="pct"/>
          <w:trHeight w:val="29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30.03.2013 №557-р </w:t>
            </w: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ПКМРТ от 01.07.2013 №461 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государственной программы «Развитие здравоохранения Республики Татарстан до 2020 года», утвержденной ПКМ РТ от 01.07.2013 №461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46" w:rsidRPr="00CB6E75" w:rsidRDefault="00760746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Продолжена работа 21 центра здоровья Республики Татарстан. </w:t>
            </w:r>
          </w:p>
          <w:p w:rsidR="00760746" w:rsidRPr="00CB6E75" w:rsidRDefault="00760746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предварительной информации учреждений здравоохранения на 30.12.2015 в центрах здоровья РТ обследовано 94 319 человек (дети – 26 324, из них 85,5% школьного возраста). </w:t>
            </w:r>
          </w:p>
          <w:p w:rsidR="00760746" w:rsidRPr="00CB6E75" w:rsidRDefault="00760746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общего числа обследованных признаны здоровыми 20 592 чел. (22,0%), выявлены функциональные расстройства – у 73 727 чел. (78,0%), </w:t>
            </w:r>
          </w:p>
          <w:p w:rsidR="00760746" w:rsidRPr="00CB6E75" w:rsidRDefault="00760746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направлены в медицинские  учреждения – 54 378 чел. (57,6%). </w:t>
            </w:r>
          </w:p>
          <w:p w:rsidR="00760746" w:rsidRPr="00CB6E75" w:rsidRDefault="00760746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Мобильным центром здоровья для детей проведено 98 выездов в муниципальные районы РТ, осмотрено 1 566 детей.</w:t>
            </w:r>
          </w:p>
          <w:p w:rsidR="004A213C" w:rsidRPr="00CB6E75" w:rsidRDefault="00760746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В 2015 г. продолжена диспансеризация определенных возрастных гру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пп взр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ослого населения.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проведении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диспансеризации взрослого населения участвуют 87 медицинских организаций. За 11 месяцев 2015 года  осмотрено - 557 287 человек из числа определенных гру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пп взр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ослого населения, или  92,0 % от годового плана (606 661).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до 2018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B70BF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760746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9385,3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CB6E75" w:rsidRDefault="00760746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9385,3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CA6E05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B6E75" w:rsidRDefault="004A213C" w:rsidP="00CB6E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70BF1" w:rsidRPr="00CB6E75" w:rsidTr="005F5143">
        <w:trPr>
          <w:gridAfter w:val="12"/>
          <w:wAfter w:w="2506" w:type="pct"/>
          <w:trHeight w:val="29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1" w:rsidRPr="00CB6E75" w:rsidRDefault="00B70BF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Кабинета Министров Республики Татарстан от 19.02.2015  № 257-р «О проведении Спартакиады государственных и муниципальных служащих Республики Татарстан»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1" w:rsidRPr="00CB6E75" w:rsidRDefault="00B70BF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Спартакиада государственных и муниципальных служащих Республики Татарстан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1" w:rsidRPr="00CB6E75" w:rsidRDefault="00B70BF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распоряжением Кабинета Министров Республики Татарстан от 19.02.2015 № 257-р «О проведении Спартакиады государственных и муниципальных служащих Республики Татарстан» в течение года проходит Спартакиада государственных служащих Республики Татарстан.</w:t>
            </w:r>
          </w:p>
          <w:p w:rsidR="00B70BF1" w:rsidRPr="00CB6E75" w:rsidRDefault="00B70BF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в рамках Спартакиады были проведены игры по мини-футболу и соревнования по настольному теннису.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соревнованиях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принимали участие 27 команд (около 250 человек).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соревнованиях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настольному теннису приняли участие 27 команд (81 участник).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ноябре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 года состоялись соревнования по бадминтону. Общее количество участников составило 112 человек или 27 команд. Итогом Спартакиады стали соревнования по баскетболу. В </w:t>
            </w:r>
            <w:proofErr w:type="gramStart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состязаниях</w:t>
            </w:r>
            <w:proofErr w:type="gramEnd"/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приняли участие 24 команды, количество участников составило около 240 человек.</w:t>
            </w:r>
          </w:p>
          <w:p w:rsidR="00B70BF1" w:rsidRPr="00CB6E75" w:rsidRDefault="00B70BF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годовой Спартакиады призовые места были распределены следующим образом:</w:t>
            </w:r>
          </w:p>
          <w:p w:rsidR="00B70BF1" w:rsidRPr="00CB6E75" w:rsidRDefault="00B70BF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I место – команда Аппарата Кабинета Министров Республики Татарстан;</w:t>
            </w:r>
          </w:p>
          <w:p w:rsidR="00B70BF1" w:rsidRPr="00CB6E75" w:rsidRDefault="00B70BF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II место – команда Аппарата Президента Республики Татарстан;</w:t>
            </w:r>
          </w:p>
          <w:p w:rsidR="00B70BF1" w:rsidRPr="00CB6E75" w:rsidRDefault="00B70BF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III место – команда Министерства сельского хозяйства и продовольствия Республики Татарстан.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1" w:rsidRPr="00CB6E75" w:rsidRDefault="00B70BF1" w:rsidP="00CB6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1" w:rsidRPr="00CB6E75" w:rsidRDefault="00B70BF1" w:rsidP="00CB6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1" w:rsidRPr="00CB6E75" w:rsidRDefault="00B70BF1" w:rsidP="00CB6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BF1" w:rsidRPr="00CB6E75" w:rsidRDefault="00F6520F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B70BF1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BF1" w:rsidRPr="00CB6E75" w:rsidRDefault="00F6520F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B70BF1"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1" w:rsidRPr="00CB6E75" w:rsidRDefault="00B70BF1" w:rsidP="00C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1" w:rsidRPr="00CB6E75" w:rsidRDefault="00B70BF1" w:rsidP="00CB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7427" w:rsidRPr="00CB6E75" w:rsidRDefault="00EF7427" w:rsidP="00CB6E75">
      <w:pPr>
        <w:pStyle w:val="a3"/>
        <w:tabs>
          <w:tab w:val="left" w:pos="1152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B6E75">
        <w:rPr>
          <w:rFonts w:ascii="Times New Roman" w:hAnsi="Times New Roman" w:cs="Times New Roman"/>
          <w:sz w:val="20"/>
          <w:szCs w:val="20"/>
        </w:rPr>
        <w:t>*для достижения данных показателей мероприятия осуществляются в рамках текущей деятельности за счет ведомственного финансирования.</w:t>
      </w:r>
    </w:p>
    <w:p w:rsidR="00EF7427" w:rsidRDefault="00EF7427" w:rsidP="00CB6E75">
      <w:pPr>
        <w:pStyle w:val="a3"/>
        <w:tabs>
          <w:tab w:val="left" w:pos="1152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B6E75" w:rsidRDefault="00CB6E75" w:rsidP="00CB6E75">
      <w:pPr>
        <w:pStyle w:val="a3"/>
        <w:tabs>
          <w:tab w:val="left" w:pos="1152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B6E75" w:rsidRDefault="00CB6E75" w:rsidP="00CB6E75">
      <w:pPr>
        <w:pStyle w:val="a3"/>
        <w:tabs>
          <w:tab w:val="left" w:pos="1152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35D5E" w:rsidRPr="00CB6E75" w:rsidRDefault="00F35D5E" w:rsidP="00CB6E75">
      <w:pPr>
        <w:pStyle w:val="a3"/>
        <w:tabs>
          <w:tab w:val="left" w:pos="1152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42105" w:rsidRPr="00CB6E75" w:rsidRDefault="00BE682A" w:rsidP="00CB6E75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B6E75">
        <w:rPr>
          <w:rFonts w:ascii="Times New Roman" w:hAnsi="Times New Roman" w:cs="Times New Roman"/>
          <w:sz w:val="20"/>
          <w:szCs w:val="20"/>
          <w:u w:val="single"/>
        </w:rPr>
        <w:t>Условные сокращения</w:t>
      </w:r>
      <w:r w:rsidR="00150FB6" w:rsidRPr="00CB6E75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BE682A" w:rsidRPr="00CB6E75" w:rsidRDefault="00BE682A" w:rsidP="00CB6E75">
      <w:pPr>
        <w:tabs>
          <w:tab w:val="left" w:pos="1152"/>
          <w:tab w:val="left" w:pos="123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E75">
        <w:rPr>
          <w:rFonts w:ascii="Times New Roman" w:eastAsia="Times New Roman" w:hAnsi="Times New Roman" w:cs="Times New Roman"/>
          <w:sz w:val="20"/>
          <w:szCs w:val="20"/>
        </w:rPr>
        <w:t>ПКМ РТ - Постановление Кабинета Министров Республики Татарстан;</w:t>
      </w:r>
    </w:p>
    <w:p w:rsidR="00C81837" w:rsidRPr="00CB6E75" w:rsidRDefault="00C81837" w:rsidP="00CB6E75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E75">
        <w:rPr>
          <w:rFonts w:ascii="Times New Roman" w:eastAsia="Times New Roman" w:hAnsi="Times New Roman" w:cs="Times New Roman"/>
          <w:sz w:val="20"/>
          <w:szCs w:val="20"/>
        </w:rPr>
        <w:t>РКМ РТ - Распоряжение Кабинета Министров Республики Татарстан;</w:t>
      </w:r>
    </w:p>
    <w:p w:rsidR="00BE682A" w:rsidRPr="00CB6E75" w:rsidRDefault="00D6488A" w:rsidP="00CB6E75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E75">
        <w:rPr>
          <w:rFonts w:ascii="Times New Roman" w:eastAsia="Times New Roman" w:hAnsi="Times New Roman" w:cs="Times New Roman"/>
          <w:sz w:val="20"/>
          <w:szCs w:val="20"/>
        </w:rPr>
        <w:t>ПКМ РТ от 21.12.2012 №1014  - Постановление Кабинета Министров Республики Татарстан от 21.12.2012 №1014 «О Республиканском плане мероприятий Правительства Республики Татарстан по организации исполнения Указов Президента Российской Федерации от 7 мая 2012 №594, 596-602, 606»</w:t>
      </w:r>
      <w:r w:rsidR="00C81837" w:rsidRPr="00CB6E7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74FCB" w:rsidRPr="00CB6E75" w:rsidRDefault="00274FCB" w:rsidP="00CB6E75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E75">
        <w:rPr>
          <w:rFonts w:ascii="Times New Roman" w:hAnsi="Times New Roman" w:cs="Times New Roman"/>
          <w:sz w:val="20"/>
          <w:szCs w:val="20"/>
        </w:rPr>
        <w:t xml:space="preserve">РКМ РТ </w:t>
      </w:r>
      <w:r w:rsidRPr="00CB6E75">
        <w:rPr>
          <w:rFonts w:ascii="Times New Roman" w:eastAsia="Times New Roman" w:hAnsi="Times New Roman" w:cs="Times New Roman"/>
          <w:sz w:val="20"/>
          <w:szCs w:val="20"/>
        </w:rPr>
        <w:t xml:space="preserve">от 20.12.2012 №2291-р  - Распоряжение Кабинета Министров Республики Татарстан  от 20.12.2012 №2291-р «Об утверждении Динамики значений соотношения средней заработной платы работников государственных учреждений Республики Татарстан со средней прогнозируемой заработной платой в Республике Татарстан в 2013 - 2018 годах» (с </w:t>
      </w:r>
      <w:proofErr w:type="spellStart"/>
      <w:r w:rsidRPr="00CB6E75">
        <w:rPr>
          <w:rFonts w:ascii="Times New Roman" w:eastAsia="Times New Roman" w:hAnsi="Times New Roman" w:cs="Times New Roman"/>
          <w:sz w:val="20"/>
          <w:szCs w:val="20"/>
        </w:rPr>
        <w:t>посл</w:t>
      </w:r>
      <w:proofErr w:type="gramStart"/>
      <w:r w:rsidRPr="00CB6E75">
        <w:rPr>
          <w:rFonts w:ascii="Times New Roman" w:eastAsia="Times New Roman" w:hAnsi="Times New Roman" w:cs="Times New Roman"/>
          <w:sz w:val="20"/>
          <w:szCs w:val="20"/>
        </w:rPr>
        <w:t>.и</w:t>
      </w:r>
      <w:proofErr w:type="gramEnd"/>
      <w:r w:rsidRPr="00CB6E75">
        <w:rPr>
          <w:rFonts w:ascii="Times New Roman" w:eastAsia="Times New Roman" w:hAnsi="Times New Roman" w:cs="Times New Roman"/>
          <w:sz w:val="20"/>
          <w:szCs w:val="20"/>
        </w:rPr>
        <w:t>зм</w:t>
      </w:r>
      <w:proofErr w:type="spellEnd"/>
      <w:r w:rsidRPr="00CB6E75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B62970" w:rsidRPr="00CB6E75" w:rsidRDefault="00B62970" w:rsidP="00CB6E75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E75">
        <w:rPr>
          <w:rFonts w:ascii="Times New Roman" w:eastAsia="Times New Roman" w:hAnsi="Times New Roman" w:cs="Times New Roman"/>
          <w:sz w:val="20"/>
          <w:szCs w:val="20"/>
        </w:rPr>
        <w:t>РКМ РТ от 21.05.2014 №939-р  - Распоряжение Кабинета Министров Республики Татарстан «О</w:t>
      </w:r>
      <w:r w:rsidR="009E4621" w:rsidRPr="00CB6E75">
        <w:rPr>
          <w:rFonts w:ascii="Times New Roman" w:eastAsia="Times New Roman" w:hAnsi="Times New Roman" w:cs="Times New Roman"/>
          <w:sz w:val="20"/>
          <w:szCs w:val="20"/>
        </w:rPr>
        <w:t xml:space="preserve"> Плане</w:t>
      </w:r>
      <w:r w:rsidRPr="00CB6E75">
        <w:rPr>
          <w:rFonts w:ascii="Times New Roman" w:eastAsia="Times New Roman" w:hAnsi="Times New Roman" w:cs="Times New Roman"/>
          <w:sz w:val="20"/>
          <w:szCs w:val="20"/>
        </w:rPr>
        <w:t xml:space="preserve"> мероприятий («дорожная карта») изменения в отраслях социальной сферы, направленные на повышение эффективности образования и науки в Республике Татарстан, на 2013 - 2018 годы»</w:t>
      </w:r>
    </w:p>
    <w:p w:rsidR="009E4621" w:rsidRPr="00CB6E75" w:rsidRDefault="009E4621" w:rsidP="00C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E75">
        <w:rPr>
          <w:rFonts w:ascii="Times New Roman" w:eastAsia="Times New Roman" w:hAnsi="Times New Roman" w:cs="Times New Roman"/>
          <w:sz w:val="20"/>
          <w:szCs w:val="20"/>
        </w:rPr>
        <w:t>ПКМРТ от 30.03.2013 №557-р - Постановление Кабинета Министров Республики Татарстан от 30.03.2013 №557-р «О Плане мероприятий («дорожная карта») «Изменения в отраслях социальной сферы, направленные на повышение эффективности здравоохранения в Республике Татарстан» (2013 - 2018 годы)</w:t>
      </w:r>
    </w:p>
    <w:p w:rsidR="00274FCB" w:rsidRPr="00CB6E75" w:rsidRDefault="009E4621" w:rsidP="00CB6E75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E75">
        <w:rPr>
          <w:rFonts w:ascii="Times New Roman" w:eastAsia="Times New Roman" w:hAnsi="Times New Roman" w:cs="Times New Roman"/>
          <w:sz w:val="20"/>
          <w:szCs w:val="20"/>
        </w:rPr>
        <w:t>ПКМРТ от 01.07.2013 №461  - Постановление Кабинета Министров Республики Татарстан от 01.07.2013 №461  «Об утверждении государственной программы «Развитие здравоохранения Республики Татарстан до 2020 года»</w:t>
      </w:r>
    </w:p>
    <w:sectPr w:rsidR="00274FCB" w:rsidRPr="00CB6E75" w:rsidSect="00731D62">
      <w:pgSz w:w="16838" w:h="11906" w:orient="landscape"/>
      <w:pgMar w:top="1134" w:right="25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139"/>
    <w:multiLevelType w:val="hybridMultilevel"/>
    <w:tmpl w:val="35926950"/>
    <w:lvl w:ilvl="0" w:tplc="7E146416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21A72AAA"/>
    <w:multiLevelType w:val="hybridMultilevel"/>
    <w:tmpl w:val="E51284C8"/>
    <w:lvl w:ilvl="0" w:tplc="106AF1C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61E12F0A"/>
    <w:multiLevelType w:val="hybridMultilevel"/>
    <w:tmpl w:val="BA307786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7EC235CF"/>
    <w:multiLevelType w:val="hybridMultilevel"/>
    <w:tmpl w:val="E3F4847A"/>
    <w:lvl w:ilvl="0" w:tplc="106AF1C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18"/>
    <w:rsid w:val="00026FE2"/>
    <w:rsid w:val="000279A3"/>
    <w:rsid w:val="00036877"/>
    <w:rsid w:val="000424C4"/>
    <w:rsid w:val="00042ADC"/>
    <w:rsid w:val="0004571A"/>
    <w:rsid w:val="000477E3"/>
    <w:rsid w:val="00056012"/>
    <w:rsid w:val="00057F42"/>
    <w:rsid w:val="000667D7"/>
    <w:rsid w:val="00076215"/>
    <w:rsid w:val="000A166F"/>
    <w:rsid w:val="000B15F2"/>
    <w:rsid w:val="000C77CE"/>
    <w:rsid w:val="000D50FD"/>
    <w:rsid w:val="000D5301"/>
    <w:rsid w:val="000F0D60"/>
    <w:rsid w:val="000F6BDF"/>
    <w:rsid w:val="001022DF"/>
    <w:rsid w:val="00103538"/>
    <w:rsid w:val="00137582"/>
    <w:rsid w:val="00141DA0"/>
    <w:rsid w:val="00150FB6"/>
    <w:rsid w:val="001551B3"/>
    <w:rsid w:val="00160185"/>
    <w:rsid w:val="001658E0"/>
    <w:rsid w:val="00171822"/>
    <w:rsid w:val="001925DB"/>
    <w:rsid w:val="00195DF7"/>
    <w:rsid w:val="00196681"/>
    <w:rsid w:val="001A12C1"/>
    <w:rsid w:val="001A4053"/>
    <w:rsid w:val="001D687C"/>
    <w:rsid w:val="00203735"/>
    <w:rsid w:val="0020525B"/>
    <w:rsid w:val="002078B2"/>
    <w:rsid w:val="002306F5"/>
    <w:rsid w:val="00230D6D"/>
    <w:rsid w:val="00231987"/>
    <w:rsid w:val="002319A3"/>
    <w:rsid w:val="00231A8C"/>
    <w:rsid w:val="00241741"/>
    <w:rsid w:val="002521C2"/>
    <w:rsid w:val="0025388E"/>
    <w:rsid w:val="0026185D"/>
    <w:rsid w:val="00262269"/>
    <w:rsid w:val="00264255"/>
    <w:rsid w:val="00265C7F"/>
    <w:rsid w:val="002705E2"/>
    <w:rsid w:val="0027197D"/>
    <w:rsid w:val="00274FCB"/>
    <w:rsid w:val="00275AB1"/>
    <w:rsid w:val="00275C4B"/>
    <w:rsid w:val="002933C8"/>
    <w:rsid w:val="002A5C3A"/>
    <w:rsid w:val="002C0E10"/>
    <w:rsid w:val="002C481C"/>
    <w:rsid w:val="002D0D50"/>
    <w:rsid w:val="002D5AB7"/>
    <w:rsid w:val="002F1C3D"/>
    <w:rsid w:val="00310DD0"/>
    <w:rsid w:val="00317E83"/>
    <w:rsid w:val="00320701"/>
    <w:rsid w:val="003213FA"/>
    <w:rsid w:val="00322E71"/>
    <w:rsid w:val="003250C8"/>
    <w:rsid w:val="003265E8"/>
    <w:rsid w:val="0033161F"/>
    <w:rsid w:val="00340085"/>
    <w:rsid w:val="00344F59"/>
    <w:rsid w:val="003463A4"/>
    <w:rsid w:val="00355B28"/>
    <w:rsid w:val="00366315"/>
    <w:rsid w:val="0037199C"/>
    <w:rsid w:val="0038066D"/>
    <w:rsid w:val="00384ADC"/>
    <w:rsid w:val="003A35CB"/>
    <w:rsid w:val="003B0A70"/>
    <w:rsid w:val="003B16D1"/>
    <w:rsid w:val="003B6632"/>
    <w:rsid w:val="004035DD"/>
    <w:rsid w:val="004078E1"/>
    <w:rsid w:val="004135F6"/>
    <w:rsid w:val="00415972"/>
    <w:rsid w:val="004177F9"/>
    <w:rsid w:val="00420770"/>
    <w:rsid w:val="0043173E"/>
    <w:rsid w:val="00431C66"/>
    <w:rsid w:val="00435990"/>
    <w:rsid w:val="00436E15"/>
    <w:rsid w:val="0043739C"/>
    <w:rsid w:val="004374E1"/>
    <w:rsid w:val="00441E18"/>
    <w:rsid w:val="00456F2E"/>
    <w:rsid w:val="004607E9"/>
    <w:rsid w:val="00462C69"/>
    <w:rsid w:val="00466E8F"/>
    <w:rsid w:val="00477067"/>
    <w:rsid w:val="004840B9"/>
    <w:rsid w:val="00485F8D"/>
    <w:rsid w:val="00491DC9"/>
    <w:rsid w:val="004A10EF"/>
    <w:rsid w:val="004A213C"/>
    <w:rsid w:val="004A6CE9"/>
    <w:rsid w:val="004C59ED"/>
    <w:rsid w:val="004D01BD"/>
    <w:rsid w:val="004D269A"/>
    <w:rsid w:val="004D4D20"/>
    <w:rsid w:val="004D7369"/>
    <w:rsid w:val="004E7C30"/>
    <w:rsid w:val="004E7F01"/>
    <w:rsid w:val="004F2E23"/>
    <w:rsid w:val="004F7BDE"/>
    <w:rsid w:val="00502989"/>
    <w:rsid w:val="005108E9"/>
    <w:rsid w:val="00512415"/>
    <w:rsid w:val="0052640F"/>
    <w:rsid w:val="00530450"/>
    <w:rsid w:val="00537601"/>
    <w:rsid w:val="00540094"/>
    <w:rsid w:val="005619B2"/>
    <w:rsid w:val="00561E2D"/>
    <w:rsid w:val="00565961"/>
    <w:rsid w:val="00591473"/>
    <w:rsid w:val="00591B7F"/>
    <w:rsid w:val="005A0198"/>
    <w:rsid w:val="005A54AA"/>
    <w:rsid w:val="005A76BC"/>
    <w:rsid w:val="005B2C20"/>
    <w:rsid w:val="005C5CC1"/>
    <w:rsid w:val="005F5143"/>
    <w:rsid w:val="00603FFD"/>
    <w:rsid w:val="006114CD"/>
    <w:rsid w:val="00612DB3"/>
    <w:rsid w:val="00616D44"/>
    <w:rsid w:val="0063369B"/>
    <w:rsid w:val="006401BB"/>
    <w:rsid w:val="0064391C"/>
    <w:rsid w:val="00643B21"/>
    <w:rsid w:val="0066235D"/>
    <w:rsid w:val="00675832"/>
    <w:rsid w:val="00676BC7"/>
    <w:rsid w:val="00683139"/>
    <w:rsid w:val="00684379"/>
    <w:rsid w:val="006900B0"/>
    <w:rsid w:val="006A2FA3"/>
    <w:rsid w:val="006A3DC0"/>
    <w:rsid w:val="006A6090"/>
    <w:rsid w:val="006B03BB"/>
    <w:rsid w:val="006B5E4B"/>
    <w:rsid w:val="006C4530"/>
    <w:rsid w:val="006D192D"/>
    <w:rsid w:val="006E6511"/>
    <w:rsid w:val="00702FA1"/>
    <w:rsid w:val="007030C3"/>
    <w:rsid w:val="007056F3"/>
    <w:rsid w:val="00724373"/>
    <w:rsid w:val="00731D62"/>
    <w:rsid w:val="007441FA"/>
    <w:rsid w:val="00745B6A"/>
    <w:rsid w:val="007555D4"/>
    <w:rsid w:val="00755BDF"/>
    <w:rsid w:val="00760746"/>
    <w:rsid w:val="007650AA"/>
    <w:rsid w:val="00776360"/>
    <w:rsid w:val="00776B07"/>
    <w:rsid w:val="00777E6B"/>
    <w:rsid w:val="007B14B7"/>
    <w:rsid w:val="007B246B"/>
    <w:rsid w:val="007B7768"/>
    <w:rsid w:val="007C0F35"/>
    <w:rsid w:val="007D1281"/>
    <w:rsid w:val="007E58EC"/>
    <w:rsid w:val="007E5C15"/>
    <w:rsid w:val="007E6724"/>
    <w:rsid w:val="007F11B5"/>
    <w:rsid w:val="007F565C"/>
    <w:rsid w:val="007F5D77"/>
    <w:rsid w:val="00801647"/>
    <w:rsid w:val="00812945"/>
    <w:rsid w:val="0081404B"/>
    <w:rsid w:val="0081705B"/>
    <w:rsid w:val="00837839"/>
    <w:rsid w:val="00842105"/>
    <w:rsid w:val="00853430"/>
    <w:rsid w:val="008659DF"/>
    <w:rsid w:val="00866229"/>
    <w:rsid w:val="00867F1F"/>
    <w:rsid w:val="0087533E"/>
    <w:rsid w:val="008776E3"/>
    <w:rsid w:val="00893B13"/>
    <w:rsid w:val="008947E8"/>
    <w:rsid w:val="00897D8A"/>
    <w:rsid w:val="008A164E"/>
    <w:rsid w:val="008A4C95"/>
    <w:rsid w:val="008A4FA0"/>
    <w:rsid w:val="008A762E"/>
    <w:rsid w:val="008B7CC4"/>
    <w:rsid w:val="008C45EF"/>
    <w:rsid w:val="008C6C4B"/>
    <w:rsid w:val="008C6F71"/>
    <w:rsid w:val="008D02E9"/>
    <w:rsid w:val="008D336C"/>
    <w:rsid w:val="008D40A6"/>
    <w:rsid w:val="008E7DC6"/>
    <w:rsid w:val="008F31D1"/>
    <w:rsid w:val="008F5078"/>
    <w:rsid w:val="009042D6"/>
    <w:rsid w:val="009043DA"/>
    <w:rsid w:val="009053F5"/>
    <w:rsid w:val="00912699"/>
    <w:rsid w:val="00917CC2"/>
    <w:rsid w:val="0092333C"/>
    <w:rsid w:val="0092567A"/>
    <w:rsid w:val="00946962"/>
    <w:rsid w:val="0095227D"/>
    <w:rsid w:val="00953CEF"/>
    <w:rsid w:val="0096521E"/>
    <w:rsid w:val="00981D16"/>
    <w:rsid w:val="00984244"/>
    <w:rsid w:val="00985EE9"/>
    <w:rsid w:val="009B1DD6"/>
    <w:rsid w:val="009C1F99"/>
    <w:rsid w:val="009C2665"/>
    <w:rsid w:val="009C5EC8"/>
    <w:rsid w:val="009D0D13"/>
    <w:rsid w:val="009D3DB5"/>
    <w:rsid w:val="009D770D"/>
    <w:rsid w:val="009E0A20"/>
    <w:rsid w:val="009E4621"/>
    <w:rsid w:val="009F0203"/>
    <w:rsid w:val="00A0094D"/>
    <w:rsid w:val="00A00F2E"/>
    <w:rsid w:val="00A02E30"/>
    <w:rsid w:val="00A05249"/>
    <w:rsid w:val="00A0660A"/>
    <w:rsid w:val="00A15314"/>
    <w:rsid w:val="00A23563"/>
    <w:rsid w:val="00A52438"/>
    <w:rsid w:val="00A655E7"/>
    <w:rsid w:val="00A72621"/>
    <w:rsid w:val="00A75B70"/>
    <w:rsid w:val="00A83430"/>
    <w:rsid w:val="00A857F5"/>
    <w:rsid w:val="00A866C6"/>
    <w:rsid w:val="00A93F82"/>
    <w:rsid w:val="00AC0FE0"/>
    <w:rsid w:val="00AC4163"/>
    <w:rsid w:val="00AC445A"/>
    <w:rsid w:val="00AD6A62"/>
    <w:rsid w:val="00AE09EB"/>
    <w:rsid w:val="00AF77BC"/>
    <w:rsid w:val="00B00894"/>
    <w:rsid w:val="00B01086"/>
    <w:rsid w:val="00B24C64"/>
    <w:rsid w:val="00B32382"/>
    <w:rsid w:val="00B35631"/>
    <w:rsid w:val="00B62970"/>
    <w:rsid w:val="00B66505"/>
    <w:rsid w:val="00B67B5C"/>
    <w:rsid w:val="00B70BF1"/>
    <w:rsid w:val="00B7151D"/>
    <w:rsid w:val="00B7457F"/>
    <w:rsid w:val="00B81D35"/>
    <w:rsid w:val="00B83B24"/>
    <w:rsid w:val="00B9336B"/>
    <w:rsid w:val="00BA1AA0"/>
    <w:rsid w:val="00BA6626"/>
    <w:rsid w:val="00BB0D85"/>
    <w:rsid w:val="00BB24C7"/>
    <w:rsid w:val="00BD4C9A"/>
    <w:rsid w:val="00BE015D"/>
    <w:rsid w:val="00BE17B3"/>
    <w:rsid w:val="00BE682A"/>
    <w:rsid w:val="00BE6E00"/>
    <w:rsid w:val="00BF18CD"/>
    <w:rsid w:val="00C02BD2"/>
    <w:rsid w:val="00C068E9"/>
    <w:rsid w:val="00C1167C"/>
    <w:rsid w:val="00C1411D"/>
    <w:rsid w:val="00C14E59"/>
    <w:rsid w:val="00C20776"/>
    <w:rsid w:val="00C60DFA"/>
    <w:rsid w:val="00C7314A"/>
    <w:rsid w:val="00C74019"/>
    <w:rsid w:val="00C74467"/>
    <w:rsid w:val="00C75337"/>
    <w:rsid w:val="00C77170"/>
    <w:rsid w:val="00C81837"/>
    <w:rsid w:val="00C826F6"/>
    <w:rsid w:val="00C855DC"/>
    <w:rsid w:val="00C8616E"/>
    <w:rsid w:val="00C873E2"/>
    <w:rsid w:val="00C91E82"/>
    <w:rsid w:val="00C94C0E"/>
    <w:rsid w:val="00CA45E4"/>
    <w:rsid w:val="00CA6CE4"/>
    <w:rsid w:val="00CA6E05"/>
    <w:rsid w:val="00CB6E75"/>
    <w:rsid w:val="00CF3699"/>
    <w:rsid w:val="00CF3789"/>
    <w:rsid w:val="00D0050B"/>
    <w:rsid w:val="00D07E1F"/>
    <w:rsid w:val="00D11654"/>
    <w:rsid w:val="00D170CB"/>
    <w:rsid w:val="00D26E1B"/>
    <w:rsid w:val="00D271A4"/>
    <w:rsid w:val="00D30DA7"/>
    <w:rsid w:val="00D33D38"/>
    <w:rsid w:val="00D35F24"/>
    <w:rsid w:val="00D41CAF"/>
    <w:rsid w:val="00D536C1"/>
    <w:rsid w:val="00D62D2A"/>
    <w:rsid w:val="00D6488A"/>
    <w:rsid w:val="00D71521"/>
    <w:rsid w:val="00D77EE4"/>
    <w:rsid w:val="00D820E7"/>
    <w:rsid w:val="00DB1E62"/>
    <w:rsid w:val="00DB5286"/>
    <w:rsid w:val="00DC7BD7"/>
    <w:rsid w:val="00DE58EB"/>
    <w:rsid w:val="00DE7FEE"/>
    <w:rsid w:val="00DF3188"/>
    <w:rsid w:val="00E07E67"/>
    <w:rsid w:val="00E23F17"/>
    <w:rsid w:val="00E3705F"/>
    <w:rsid w:val="00E4639F"/>
    <w:rsid w:val="00E54042"/>
    <w:rsid w:val="00E550CC"/>
    <w:rsid w:val="00E6152B"/>
    <w:rsid w:val="00E72D83"/>
    <w:rsid w:val="00EB03BA"/>
    <w:rsid w:val="00EB1AB6"/>
    <w:rsid w:val="00EB3B7F"/>
    <w:rsid w:val="00EB40BA"/>
    <w:rsid w:val="00EC2AB0"/>
    <w:rsid w:val="00ED731E"/>
    <w:rsid w:val="00EE59FA"/>
    <w:rsid w:val="00EF7427"/>
    <w:rsid w:val="00F0440C"/>
    <w:rsid w:val="00F20741"/>
    <w:rsid w:val="00F268CE"/>
    <w:rsid w:val="00F3333F"/>
    <w:rsid w:val="00F343F4"/>
    <w:rsid w:val="00F346CD"/>
    <w:rsid w:val="00F35D5E"/>
    <w:rsid w:val="00F54708"/>
    <w:rsid w:val="00F55DB0"/>
    <w:rsid w:val="00F6520F"/>
    <w:rsid w:val="00F72353"/>
    <w:rsid w:val="00F82312"/>
    <w:rsid w:val="00F82F54"/>
    <w:rsid w:val="00FA1CED"/>
    <w:rsid w:val="00FC739A"/>
    <w:rsid w:val="00FD7E4F"/>
    <w:rsid w:val="00FF195E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41DA0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76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41DA0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76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t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035AF-7F93-4879-8F33-8483AAF4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30</Pages>
  <Words>7495</Words>
  <Characters>42723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</dc:creator>
  <cp:lastModifiedBy>Гатауллина</cp:lastModifiedBy>
  <cp:revision>8</cp:revision>
  <cp:lastPrinted>2015-10-13T14:45:00Z</cp:lastPrinted>
  <dcterms:created xsi:type="dcterms:W3CDTF">2016-01-15T11:39:00Z</dcterms:created>
  <dcterms:modified xsi:type="dcterms:W3CDTF">2016-01-15T12:30:00Z</dcterms:modified>
</cp:coreProperties>
</file>