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28" w:rsidRDefault="009C1D31">
      <w:pPr>
        <w:spacing w:after="0" w:line="259" w:lineRule="auto"/>
        <w:ind w:left="10" w:right="6" w:hanging="10"/>
        <w:jc w:val="center"/>
      </w:pPr>
      <w:bookmarkStart w:id="0" w:name="_GoBack"/>
      <w:bookmarkEnd w:id="0"/>
      <w:r>
        <w:rPr>
          <w:b/>
        </w:rPr>
        <w:t xml:space="preserve">ТЕЗИСЫ ВЫСТУПЛЕНИЯ </w:t>
      </w:r>
    </w:p>
    <w:p w:rsidR="00C17E28" w:rsidRDefault="009C1D31">
      <w:pPr>
        <w:spacing w:line="238" w:lineRule="auto"/>
        <w:ind w:left="3707" w:hanging="2749"/>
      </w:pPr>
      <w:r>
        <w:t xml:space="preserve">министра экономики Республики Татарстан М.Р. Шагиахметова  на брифинге на тему </w:t>
      </w:r>
    </w:p>
    <w:p w:rsidR="00C17E28" w:rsidRDefault="009C1D31">
      <w:pPr>
        <w:spacing w:line="238" w:lineRule="auto"/>
        <w:ind w:left="4232" w:right="240" w:hanging="3728"/>
      </w:pPr>
      <w:r>
        <w:t xml:space="preserve">«О мероприятиях поддержки малого и среднего предпринимательства  в 2014 году» </w:t>
      </w:r>
    </w:p>
    <w:p w:rsidR="00C17E28" w:rsidRDefault="009C1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17E28" w:rsidRDefault="009C1D3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2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28"/>
        <w:gridCol w:w="3499"/>
      </w:tblGrid>
      <w:tr w:rsidR="00C17E28">
        <w:trPr>
          <w:trHeight w:val="305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C17E28" w:rsidRDefault="009C1D31">
            <w:pPr>
              <w:spacing w:after="0" w:line="259" w:lineRule="auto"/>
              <w:ind w:left="0" w:right="0" w:firstLine="0"/>
              <w:jc w:val="left"/>
            </w:pPr>
            <w:r>
              <w:t xml:space="preserve">29 июля 2014 года 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C17E28" w:rsidRDefault="009C1D31">
            <w:pPr>
              <w:spacing w:after="0" w:line="259" w:lineRule="auto"/>
              <w:ind w:left="0" w:right="60" w:firstLine="0"/>
              <w:jc w:val="right"/>
            </w:pPr>
            <w:r>
              <w:t xml:space="preserve">КМ РТ </w:t>
            </w:r>
          </w:p>
        </w:tc>
      </w:tr>
      <w:tr w:rsidR="00C17E28">
        <w:trPr>
          <w:trHeight w:val="305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C17E28" w:rsidRDefault="009C1D31">
            <w:pPr>
              <w:spacing w:after="0" w:line="259" w:lineRule="auto"/>
              <w:ind w:left="0" w:right="0" w:firstLine="0"/>
              <w:jc w:val="left"/>
            </w:pPr>
            <w:r>
              <w:t xml:space="preserve">10:00 часов 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C17E28" w:rsidRDefault="009C1D31">
            <w:pPr>
              <w:spacing w:after="0" w:line="259" w:lineRule="auto"/>
              <w:ind w:left="0" w:right="62" w:firstLine="0"/>
              <w:jc w:val="right"/>
            </w:pPr>
            <w:r>
              <w:t xml:space="preserve">Зал заседаний (3 этаж) </w:t>
            </w:r>
          </w:p>
        </w:tc>
      </w:tr>
    </w:tbl>
    <w:p w:rsidR="00C17E28" w:rsidRDefault="009C1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17E28" w:rsidRDefault="009C1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17E28" w:rsidRDefault="009C1D31">
      <w:pPr>
        <w:spacing w:after="0" w:line="259" w:lineRule="auto"/>
        <w:ind w:left="10" w:right="8" w:hanging="10"/>
        <w:jc w:val="center"/>
      </w:pPr>
      <w:r>
        <w:rPr>
          <w:b/>
        </w:rPr>
        <w:t xml:space="preserve">Добрый день, уважаемые коллеги! </w:t>
      </w:r>
    </w:p>
    <w:p w:rsidR="00C17E28" w:rsidRDefault="009C1D3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17E28" w:rsidRDefault="009C1D31">
      <w:pPr>
        <w:ind w:left="-15" w:right="0"/>
      </w:pPr>
      <w:r>
        <w:t xml:space="preserve">Сектор малого и среднего предпринимательства Республики Татарстан в настоящее время формируют 140 тысяч субъектов предпринимательства, на которых занято около 480 тыс. </w:t>
      </w:r>
      <w:r>
        <w:rPr>
          <w:i/>
        </w:rPr>
        <w:t xml:space="preserve">человек (это четверть всех занятых в экономике). </w:t>
      </w:r>
    </w:p>
    <w:p w:rsidR="00C17E28" w:rsidRDefault="009C1D31">
      <w:pPr>
        <w:spacing w:after="43" w:line="245" w:lineRule="auto"/>
        <w:ind w:left="5103" w:right="5" w:firstLine="0"/>
      </w:pPr>
      <w:r>
        <w:rPr>
          <w:rFonts w:ascii="Times New Roman" w:eastAsia="Times New Roman" w:hAnsi="Times New Roman" w:cs="Times New Roman"/>
          <w:i/>
          <w:sz w:val="24"/>
        </w:rPr>
        <w:t>По данным на 01.04.2014 в Республике Татарстан осуществляют деятельность 140209 субъектов малого и среднего предпринимательства, в том числе 49926 экономически активных малых и микропредприятий, 470 средних предприятий и 89813 индивидуальных предпринимател</w:t>
      </w:r>
      <w:r>
        <w:rPr>
          <w:rFonts w:ascii="Times New Roman" w:eastAsia="Times New Roman" w:hAnsi="Times New Roman" w:cs="Times New Roman"/>
          <w:i/>
          <w:sz w:val="24"/>
        </w:rPr>
        <w:t xml:space="preserve">я. </w:t>
      </w:r>
    </w:p>
    <w:p w:rsidR="00C17E28" w:rsidRDefault="009C1D31">
      <w:pPr>
        <w:spacing w:after="134" w:line="259" w:lineRule="auto"/>
        <w:ind w:left="1621" w:right="0" w:firstLine="0"/>
        <w:jc w:val="center"/>
      </w:pPr>
      <w:r>
        <w:t xml:space="preserve"> </w:t>
      </w:r>
    </w:p>
    <w:p w:rsidR="00C17E28" w:rsidRDefault="009C1D31">
      <w:pPr>
        <w:ind w:left="-15" w:right="0"/>
      </w:pPr>
      <w:r>
        <w:t>За период с начала года количество малых предприятий увеличилось на 309 единиц, количество индивидуальных предпринимателей сократилось на 743 единицы. Уже в первом квартале 2014 года нам удалось добиться существенного замедления темпов сокращения кол</w:t>
      </w:r>
      <w:r>
        <w:t xml:space="preserve">ичества субъектов предпринимательства: для сравнения в первом квартале 2013 года количество индивидуальных предпринимателей сократилось на 13117 единиц. </w:t>
      </w:r>
    </w:p>
    <w:p w:rsidR="00C17E28" w:rsidRDefault="009C1D31">
      <w:pPr>
        <w:ind w:left="-15" w:right="0"/>
      </w:pPr>
      <w:r>
        <w:t>Количество занятых на малых предприятиях республики увеличилось на 0,3% (в абсолютном отношении на 106</w:t>
      </w:r>
      <w:r>
        <w:t xml:space="preserve">5 человек).  </w:t>
      </w:r>
    </w:p>
    <w:p w:rsidR="00C17E28" w:rsidRDefault="009C1D31">
      <w:pPr>
        <w:spacing w:after="134" w:line="259" w:lineRule="auto"/>
        <w:ind w:left="10" w:right="-7" w:hanging="10"/>
        <w:jc w:val="right"/>
      </w:pPr>
      <w:r>
        <w:t xml:space="preserve">Доля малого и среднего бизнеса в экономике республики, по данным </w:t>
      </w:r>
    </w:p>
    <w:p w:rsidR="00C17E28" w:rsidRDefault="009C1D31">
      <w:pPr>
        <w:ind w:left="-15" w:right="0" w:firstLine="0"/>
      </w:pPr>
      <w:r>
        <w:lastRenderedPageBreak/>
        <w:t>Комитета по социально-экономическому мониторингу, в первом квартале  текущего года составила 24,8%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i/>
        </w:rPr>
        <w:t xml:space="preserve">(для сравнения: в первом квартале 2013 года - 24,9%, в 2013 году - 25,6%). </w:t>
      </w:r>
    </w:p>
    <w:p w:rsidR="00C17E28" w:rsidRDefault="009C1D31">
      <w:pPr>
        <w:ind w:left="-15" w:right="0"/>
      </w:pPr>
      <w:r>
        <w:t>Д</w:t>
      </w:r>
      <w:r>
        <w:t xml:space="preserve">оля оборота малых и средних предприятий в промышленности увеличилась с 13,3% в 2013 году до 14,8% в 2014 году. </w:t>
      </w:r>
    </w:p>
    <w:p w:rsidR="00C17E28" w:rsidRDefault="009C1D31">
      <w:pPr>
        <w:ind w:left="-15" w:right="0"/>
      </w:pPr>
      <w:r>
        <w:t>Развитию предпринимательства и укреплению его роли в экономике в Республике Татарстан уделяется особое внимание. Ежегодно при поддержке федераль</w:t>
      </w:r>
      <w:r>
        <w:t xml:space="preserve">ного центра мы реализуем целый комплекс мероприятий, который включает и долгосрочные инвестиции в инфраструктуру, и мероприятия финансовой и информационно-консультационной поддержки наших предпринимателей. Так, в 2013 году за счет средств республиканского </w:t>
      </w:r>
      <w:r>
        <w:t xml:space="preserve">и федерального бюджетов, в том числе за счет остатков средств 2011-2012 годов, были реализованы  такие мероприятия, как:  </w:t>
      </w:r>
    </w:p>
    <w:p w:rsidR="00C17E28" w:rsidRDefault="009C1D31">
      <w:pPr>
        <w:numPr>
          <w:ilvl w:val="0"/>
          <w:numId w:val="1"/>
        </w:numPr>
        <w:spacing w:after="147" w:line="248" w:lineRule="auto"/>
        <w:ind w:right="0"/>
      </w:pPr>
      <w:r>
        <w:t xml:space="preserve">«Лизинг-грант» </w:t>
      </w:r>
      <w:r>
        <w:rPr>
          <w:i/>
        </w:rPr>
        <w:t>(598,9 млн.руб. – 518 получателей поддержки)</w:t>
      </w:r>
      <w:r>
        <w:t xml:space="preserve"> </w:t>
      </w:r>
    </w:p>
    <w:p w:rsidR="00C17E28" w:rsidRDefault="009C1D31">
      <w:pPr>
        <w:numPr>
          <w:ilvl w:val="0"/>
          <w:numId w:val="1"/>
        </w:numPr>
        <w:ind w:right="0"/>
      </w:pPr>
      <w:r>
        <w:t>субсидирование затрат субъектов малого и среднего предпринимательства на</w:t>
      </w:r>
      <w:r>
        <w:t xml:space="preserve"> внедрение инноваций и технологическое присоединение к объектам электросетевого хозяйства </w:t>
      </w:r>
      <w:r>
        <w:rPr>
          <w:i/>
        </w:rPr>
        <w:t xml:space="preserve">(142,2 млн.руб. – 67 получателей поддержки) </w:t>
      </w:r>
    </w:p>
    <w:p w:rsidR="00C17E28" w:rsidRDefault="009C1D31">
      <w:pPr>
        <w:numPr>
          <w:ilvl w:val="0"/>
          <w:numId w:val="1"/>
        </w:numPr>
        <w:ind w:right="0"/>
      </w:pPr>
      <w:r>
        <w:t xml:space="preserve">предоставление субсидий резидентам промышленных площадок муниципального уровня (Кластерные гранты) </w:t>
      </w:r>
      <w:r>
        <w:rPr>
          <w:i/>
        </w:rPr>
        <w:t>(72,2 млн.руб. – 171 п</w:t>
      </w:r>
      <w:r>
        <w:rPr>
          <w:i/>
        </w:rPr>
        <w:t xml:space="preserve">олучатель поддержки) </w:t>
      </w:r>
    </w:p>
    <w:p w:rsidR="00C17E28" w:rsidRDefault="009C1D31">
      <w:pPr>
        <w:numPr>
          <w:ilvl w:val="0"/>
          <w:numId w:val="1"/>
        </w:numPr>
        <w:ind w:right="0"/>
      </w:pPr>
      <w:r>
        <w:t xml:space="preserve">другие мероприятия (услуги экспортно-ориентированным СМП, популяризация предпринимательской деятельности, образовательные программы  и др.) </w:t>
      </w:r>
    </w:p>
    <w:p w:rsidR="00C17E28" w:rsidRDefault="009C1D31">
      <w:pPr>
        <w:spacing w:after="205"/>
        <w:ind w:left="-15" w:right="0"/>
      </w:pPr>
      <w:r>
        <w:t>Также полностью дооснащен Агропромпарк, на площади которого, осуществляют деятельность 168 ре</w:t>
      </w:r>
      <w:r>
        <w:t xml:space="preserve">зидентов. </w:t>
      </w:r>
    </w:p>
    <w:p w:rsidR="00C17E28" w:rsidRDefault="009C1D31">
      <w:pPr>
        <w:spacing w:after="191" w:line="244" w:lineRule="auto"/>
        <w:ind w:left="4955" w:right="2" w:firstLine="0"/>
        <w:jc w:val="right"/>
      </w:pPr>
      <w:r>
        <w:t>О</w:t>
      </w:r>
      <w:r>
        <w:rPr>
          <w:i/>
        </w:rPr>
        <w:t xml:space="preserve">бъем </w:t>
      </w:r>
      <w:r>
        <w:rPr>
          <w:i/>
        </w:rPr>
        <w:tab/>
        <w:t xml:space="preserve">собственной </w:t>
      </w:r>
      <w:r>
        <w:rPr>
          <w:i/>
        </w:rPr>
        <w:tab/>
        <w:t xml:space="preserve">произведенной продукции </w:t>
      </w:r>
      <w:r>
        <w:rPr>
          <w:i/>
        </w:rPr>
        <w:tab/>
        <w:t xml:space="preserve">Агропромпарка </w:t>
      </w:r>
      <w:r>
        <w:rPr>
          <w:i/>
        </w:rPr>
        <w:tab/>
        <w:t xml:space="preserve">составил 8 649 тыс. </w:t>
      </w:r>
      <w:r>
        <w:rPr>
          <w:i/>
        </w:rPr>
        <w:lastRenderedPageBreak/>
        <w:t xml:space="preserve">руб., поступило 6 155 тыс. руб. налогов во все уровни бюджетов. </w:t>
      </w:r>
    </w:p>
    <w:p w:rsidR="00C17E28" w:rsidRDefault="009C1D31">
      <w:pPr>
        <w:spacing w:after="0" w:line="259" w:lineRule="auto"/>
        <w:ind w:left="97" w:right="0" w:firstLine="0"/>
        <w:jc w:val="center"/>
      </w:pPr>
      <w:r>
        <w:t xml:space="preserve">Кроме того, был создан ряд инфраструктурных объектов, таких как:  </w:t>
      </w:r>
    </w:p>
    <w:p w:rsidR="00C17E28" w:rsidRDefault="009C1D31">
      <w:pPr>
        <w:numPr>
          <w:ilvl w:val="0"/>
          <w:numId w:val="1"/>
        </w:numPr>
        <w:spacing w:after="0" w:line="399" w:lineRule="auto"/>
        <w:ind w:right="0"/>
      </w:pPr>
      <w:r>
        <w:rPr>
          <w:rFonts w:ascii="Times New Roman" w:eastAsia="Times New Roman" w:hAnsi="Times New Roman" w:cs="Times New Roman"/>
        </w:rPr>
        <w:t xml:space="preserve">Центр </w:t>
      </w:r>
      <w:r>
        <w:rPr>
          <w:rFonts w:ascii="Times New Roman" w:eastAsia="Times New Roman" w:hAnsi="Times New Roman" w:cs="Times New Roman"/>
        </w:rPr>
        <w:t xml:space="preserve">поддержки предпринимательства Республики Татарстан, обеспечивающий информационно-консультационную поддержку </w:t>
      </w:r>
    </w:p>
    <w:p w:rsidR="00C17E28" w:rsidRDefault="009C1D31">
      <w:pPr>
        <w:spacing w:after="141" w:line="259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</w:rPr>
        <w:t>предпринимателей в муниципальных образованиях республики.</w:t>
      </w:r>
      <w:r>
        <w:rPr>
          <w:rFonts w:ascii="Calibri" w:eastAsia="Calibri" w:hAnsi="Calibri" w:cs="Calibri"/>
          <w:sz w:val="22"/>
        </w:rPr>
        <w:t xml:space="preserve">  </w:t>
      </w:r>
    </w:p>
    <w:p w:rsidR="00C17E28" w:rsidRDefault="009C1D31">
      <w:pPr>
        <w:spacing w:after="13" w:line="248" w:lineRule="auto"/>
        <w:ind w:left="5113" w:right="0" w:hanging="10"/>
      </w:pPr>
      <w:r>
        <w:rPr>
          <w:i/>
        </w:rPr>
        <w:t>В структуре Центра образованы представительства в восьми городах и районах Республики Т</w:t>
      </w:r>
      <w:r>
        <w:rPr>
          <w:i/>
        </w:rPr>
        <w:t xml:space="preserve">атарстан (г. Казани, г. Набережные Челны, </w:t>
      </w:r>
    </w:p>
    <w:p w:rsidR="00C17E28" w:rsidRDefault="009C1D31">
      <w:pPr>
        <w:spacing w:after="13" w:line="248" w:lineRule="auto"/>
        <w:ind w:left="5113" w:right="0" w:hanging="10"/>
      </w:pPr>
      <w:r>
        <w:rPr>
          <w:i/>
        </w:rPr>
        <w:t xml:space="preserve">Актанышском, Арском, Буинском, Нижнекамском, Альметьевском, Чистопольском муниципальных </w:t>
      </w:r>
    </w:p>
    <w:p w:rsidR="00C17E28" w:rsidRDefault="009C1D31">
      <w:pPr>
        <w:spacing w:after="161" w:line="240" w:lineRule="auto"/>
        <w:ind w:left="708" w:right="557" w:firstLine="4395"/>
      </w:pPr>
      <w:r>
        <w:rPr>
          <w:i/>
        </w:rPr>
        <w:t xml:space="preserve">районах Республики Татарстан).; </w:t>
      </w:r>
      <w:r>
        <w:t xml:space="preserve">-  3 региональных инжиниринговых центров: </w:t>
      </w:r>
    </w:p>
    <w:p w:rsidR="00C17E28" w:rsidRDefault="009C1D31">
      <w:pPr>
        <w:numPr>
          <w:ilvl w:val="1"/>
          <w:numId w:val="1"/>
        </w:numPr>
        <w:ind w:right="0"/>
      </w:pPr>
      <w:r>
        <w:t xml:space="preserve">На базе КАИ - </w:t>
      </w:r>
      <w:r>
        <w:t>РЦИ промышленных лазерных технологий «КАИЛАЗЕР». Ключевым направлением деятельности РЦИ является оказание инжиниринговых услуг в области лазерных технологий предприятиям малого и среднего предпринимательства, преимущественно машиностроительного, авиастроит</w:t>
      </w:r>
      <w:r>
        <w:t xml:space="preserve">ельного, энергетического профилей. </w:t>
      </w:r>
    </w:p>
    <w:p w:rsidR="00C17E28" w:rsidRDefault="009C1D31">
      <w:pPr>
        <w:numPr>
          <w:ilvl w:val="1"/>
          <w:numId w:val="1"/>
        </w:numPr>
        <w:ind w:right="0"/>
      </w:pPr>
      <w:r>
        <w:t xml:space="preserve">РЦИ в сфере химических технологий, ориентированный на предпринимателей, осуществляющих деятельность в сфере нефтепереработки, нефтехимии, химии, машиностроения, а также производства композиционных полимерных материалов. </w:t>
      </w:r>
    </w:p>
    <w:p w:rsidR="00C17E28" w:rsidRDefault="009C1D31">
      <w:pPr>
        <w:ind w:left="-15" w:right="0"/>
      </w:pPr>
      <w:r>
        <w:t xml:space="preserve">Поддержка субъектов МСП по линии данного центра заключается в оказании химико-аналитических услуг; разработке химических продуктов, НИОКР-услуг в результате которых на предприятиях внедряются современные технологии. </w:t>
      </w:r>
    </w:p>
    <w:p w:rsidR="00C17E28" w:rsidRDefault="009C1D31">
      <w:pPr>
        <w:numPr>
          <w:ilvl w:val="1"/>
          <w:numId w:val="1"/>
        </w:numPr>
        <w:ind w:right="0"/>
      </w:pPr>
      <w:r>
        <w:t>РЦИ «Центр Медицинской Науки «Эйдос» (</w:t>
      </w:r>
      <w:r>
        <w:t xml:space="preserve">на базе медицинского центра "Эйдос"). Основной целью деятельности данного РЦИ является повышение технологической готовности медицинских </w:t>
      </w:r>
      <w:r>
        <w:lastRenderedPageBreak/>
        <w:t xml:space="preserve">производителей и медицинских лечебных учреждений (в том числе субъектов малого и среднего предпринимательства), за счет </w:t>
      </w:r>
      <w:r>
        <w:t xml:space="preserve">создания (проектирования) специализированных медицинских виртуальных симуляторов по 32 специальностям, которые реализуют эффективное внедрение и использование медицинского оборудования и инструментов, производимых и используемых вышеуказанными компаниями. </w:t>
      </w:r>
    </w:p>
    <w:p w:rsidR="00C17E28" w:rsidRDefault="009C1D31">
      <w:pPr>
        <w:spacing w:after="134" w:line="259" w:lineRule="auto"/>
        <w:ind w:left="708" w:right="0" w:firstLine="0"/>
        <w:jc w:val="left"/>
      </w:pPr>
      <w:r>
        <w:t xml:space="preserve"> </w:t>
      </w:r>
    </w:p>
    <w:p w:rsidR="00C17E28" w:rsidRDefault="009C1D31">
      <w:pPr>
        <w:numPr>
          <w:ilvl w:val="0"/>
          <w:numId w:val="1"/>
        </w:numPr>
        <w:ind w:right="0"/>
      </w:pPr>
      <w:r>
        <w:t xml:space="preserve">Также в 2013 году в России впервые была начата программа по государственной поддержке частных промышленных парков. В рамках пилотного проекта на федеральном были выделены субсидии на поддержку 3 промышленных парков, 2 из которых </w:t>
      </w:r>
      <w:r>
        <w:t xml:space="preserve">расположены в Республике Татарстан (индустриальный парк «Химград» и КИП «Мастер). </w:t>
      </w:r>
    </w:p>
    <w:p w:rsidR="00C17E28" w:rsidRDefault="009C1D31">
      <w:pPr>
        <w:ind w:left="-15" w:right="0"/>
      </w:pPr>
      <w:r>
        <w:t>В рамках реализации проекта Химград дополнительно к 50000 кв.м, построенных корпусов на кредитные средства, построит современный производственный корпус площадью 10 000 кв.м</w:t>
      </w:r>
      <w:r>
        <w:t xml:space="preserve">, в котором планируется разместить 12 новых резидентов. Реализация этого проекта позволит создать еще 100 высокопроизводительных рабочих мест и привлечь около 300 млн. </w:t>
      </w:r>
    </w:p>
    <w:p w:rsidR="00C17E28" w:rsidRDefault="009C1D31">
      <w:pPr>
        <w:spacing w:after="134" w:line="259" w:lineRule="auto"/>
        <w:ind w:left="-15" w:right="0" w:firstLine="0"/>
      </w:pPr>
      <w:r>
        <w:t xml:space="preserve">руб. частных инвестиций. </w:t>
      </w:r>
    </w:p>
    <w:p w:rsidR="00C17E28" w:rsidRDefault="009C1D31">
      <w:pPr>
        <w:ind w:left="-15" w:right="0"/>
      </w:pPr>
      <w:r>
        <w:t>КИП «Мастер» на средства субсидии вводит в действие  66 тыс.к</w:t>
      </w:r>
      <w:r>
        <w:t xml:space="preserve">в.м. производственно-складских и офисных площадей, в котором планируют разместиться не менее 20 новых резидентов. Реализация этого проекта позволит создать еще 500 высокопроизводительных рабочих мест. </w:t>
      </w:r>
    </w:p>
    <w:p w:rsidR="00C17E28" w:rsidRDefault="009C1D31">
      <w:pPr>
        <w:spacing w:after="134" w:line="259" w:lineRule="auto"/>
        <w:ind w:left="708" w:right="0" w:firstLine="0"/>
        <w:jc w:val="left"/>
      </w:pPr>
      <w:r>
        <w:t xml:space="preserve"> </w:t>
      </w:r>
    </w:p>
    <w:p w:rsidR="00C17E28" w:rsidRDefault="009C1D31">
      <w:pPr>
        <w:ind w:left="-15" w:right="0"/>
      </w:pPr>
      <w:r>
        <w:t>В 2014 году развитие инфраструктуры и финансовая под</w:t>
      </w:r>
      <w:r>
        <w:t xml:space="preserve">держка реализуются в рамках подпрограммы «Развитие малого и среднего предпринимательства Республики Татарстан на 2014-2016 годы», утвержденной в рамках государственной программы «Экономическое </w:t>
      </w:r>
      <w:r>
        <w:lastRenderedPageBreak/>
        <w:t>развитие и инновационная экономика Республики Татарстан на 2014</w:t>
      </w:r>
      <w:r>
        <w:t xml:space="preserve">-2020 годы». </w:t>
      </w:r>
    </w:p>
    <w:p w:rsidR="00C17E28" w:rsidRDefault="009C1D31">
      <w:pPr>
        <w:ind w:left="-15" w:right="0"/>
      </w:pPr>
      <w:r>
        <w:t xml:space="preserve">Мероприятия подпрограммы определяют приоритетные задачи, увязанные со стратегическими приоритетами развития республики. </w:t>
      </w:r>
    </w:p>
    <w:p w:rsidR="00C17E28" w:rsidRDefault="009C1D31">
      <w:pPr>
        <w:spacing w:after="0" w:line="259" w:lineRule="auto"/>
        <w:ind w:left="2132" w:right="0" w:firstLine="0"/>
        <w:jc w:val="left"/>
      </w:pPr>
      <w:r>
        <w:rPr>
          <w:i/>
        </w:rPr>
        <w:t xml:space="preserve"> </w:t>
      </w:r>
    </w:p>
    <w:p w:rsidR="00C17E28" w:rsidRDefault="009C1D31">
      <w:pPr>
        <w:numPr>
          <w:ilvl w:val="0"/>
          <w:numId w:val="2"/>
        </w:numPr>
        <w:spacing w:after="13" w:line="248" w:lineRule="auto"/>
        <w:ind w:right="0" w:hanging="10"/>
      </w:pPr>
      <w:r>
        <w:rPr>
          <w:i/>
        </w:rPr>
        <w:t>Содействие технологическому перевооружению производства и повышению производительности труда субъектов малого и среднег</w:t>
      </w:r>
      <w:r>
        <w:rPr>
          <w:i/>
        </w:rPr>
        <w:t xml:space="preserve">о предпринимательства в промышленности, а также  создание условий для устойчивого развития малых форм  </w:t>
      </w:r>
    </w:p>
    <w:p w:rsidR="00C17E28" w:rsidRDefault="009C1D31">
      <w:pPr>
        <w:spacing w:after="13" w:line="248" w:lineRule="auto"/>
        <w:ind w:left="1555" w:right="0" w:hanging="10"/>
      </w:pPr>
      <w:r>
        <w:rPr>
          <w:i/>
        </w:rPr>
        <w:t xml:space="preserve">хозяйствования в сельской местности;                                </w:t>
      </w:r>
    </w:p>
    <w:p w:rsidR="00C17E28" w:rsidRDefault="009C1D31">
      <w:pPr>
        <w:numPr>
          <w:ilvl w:val="0"/>
          <w:numId w:val="2"/>
        </w:numPr>
        <w:spacing w:after="13" w:line="248" w:lineRule="auto"/>
        <w:ind w:right="0" w:hanging="10"/>
      </w:pPr>
      <w:r>
        <w:rPr>
          <w:i/>
        </w:rPr>
        <w:t>Содействие внедрению технологий, необходимых для производства  инновационной  и  ко</w:t>
      </w:r>
      <w:r>
        <w:rPr>
          <w:i/>
        </w:rPr>
        <w:t xml:space="preserve">нкурентоспособной продукции; 3. Повышение доступности  финансовых  ресурсов  для субъектов малого и среднего предпринимательства;    </w:t>
      </w:r>
    </w:p>
    <w:p w:rsidR="00C17E28" w:rsidRDefault="009C1D31">
      <w:pPr>
        <w:numPr>
          <w:ilvl w:val="0"/>
          <w:numId w:val="3"/>
        </w:numPr>
        <w:spacing w:after="13" w:line="248" w:lineRule="auto"/>
        <w:ind w:left="2226" w:right="0" w:hanging="681"/>
      </w:pPr>
      <w:r>
        <w:rPr>
          <w:i/>
        </w:rPr>
        <w:t xml:space="preserve">Создание  новых форм и развитие   имеющейся инфраструктуры </w:t>
      </w:r>
    </w:p>
    <w:p w:rsidR="00C17E28" w:rsidRDefault="009C1D31">
      <w:pPr>
        <w:spacing w:after="13" w:line="248" w:lineRule="auto"/>
        <w:ind w:left="1555" w:right="0" w:hanging="10"/>
      </w:pPr>
      <w:r>
        <w:rPr>
          <w:i/>
        </w:rPr>
        <w:t xml:space="preserve">поддержки малого </w:t>
      </w:r>
      <w:r>
        <w:rPr>
          <w:i/>
        </w:rPr>
        <w:t xml:space="preserve">и среднего предпринимательства;                                </w:t>
      </w:r>
    </w:p>
    <w:p w:rsidR="00C17E28" w:rsidRDefault="009C1D31">
      <w:pPr>
        <w:numPr>
          <w:ilvl w:val="0"/>
          <w:numId w:val="3"/>
        </w:numPr>
        <w:spacing w:after="13" w:line="248" w:lineRule="auto"/>
        <w:ind w:left="2226" w:right="0" w:hanging="681"/>
      </w:pPr>
      <w:r>
        <w:rPr>
          <w:i/>
        </w:rPr>
        <w:t xml:space="preserve">Вовлечение </w:t>
      </w:r>
      <w:r>
        <w:rPr>
          <w:i/>
        </w:rPr>
        <w:tab/>
        <w:t xml:space="preserve">экономически </w:t>
      </w:r>
      <w:r>
        <w:rPr>
          <w:i/>
        </w:rPr>
        <w:tab/>
        <w:t xml:space="preserve">активного </w:t>
      </w:r>
      <w:r>
        <w:rPr>
          <w:i/>
        </w:rPr>
        <w:tab/>
        <w:t xml:space="preserve">населения </w:t>
      </w:r>
      <w:r>
        <w:rPr>
          <w:i/>
        </w:rPr>
        <w:tab/>
        <w:t xml:space="preserve">в </w:t>
      </w:r>
    </w:p>
    <w:p w:rsidR="00C17E28" w:rsidRDefault="009C1D31">
      <w:pPr>
        <w:spacing w:after="13" w:line="248" w:lineRule="auto"/>
        <w:ind w:left="1555" w:right="0" w:hanging="10"/>
      </w:pPr>
      <w:r>
        <w:rPr>
          <w:i/>
        </w:rPr>
        <w:t xml:space="preserve">предпринимательскую деятельность;      </w:t>
      </w:r>
    </w:p>
    <w:p w:rsidR="00C17E28" w:rsidRDefault="009C1D31">
      <w:pPr>
        <w:numPr>
          <w:ilvl w:val="0"/>
          <w:numId w:val="3"/>
        </w:numPr>
        <w:spacing w:after="13" w:line="248" w:lineRule="auto"/>
        <w:ind w:left="2226" w:right="0" w:hanging="681"/>
      </w:pPr>
      <w:r>
        <w:rPr>
          <w:i/>
        </w:rPr>
        <w:t>Развитие внешнеэкономических связей, создание условий  для  продвижения продукции, производимой субъе</w:t>
      </w:r>
      <w:r>
        <w:rPr>
          <w:i/>
        </w:rPr>
        <w:t xml:space="preserve">ктами малого и  среднего предпринимательства, на региональные и зарубежные рынки                  </w:t>
      </w:r>
    </w:p>
    <w:p w:rsidR="00C17E28" w:rsidRDefault="009C1D31">
      <w:pPr>
        <w:spacing w:after="0" w:line="259" w:lineRule="auto"/>
        <w:ind w:left="2132" w:right="0" w:firstLine="0"/>
        <w:jc w:val="left"/>
      </w:pPr>
      <w:r>
        <w:rPr>
          <w:i/>
        </w:rPr>
        <w:t xml:space="preserve"> </w:t>
      </w:r>
    </w:p>
    <w:p w:rsidR="00C17E28" w:rsidRDefault="009C1D31">
      <w:pPr>
        <w:spacing w:after="134" w:line="259" w:lineRule="auto"/>
        <w:ind w:left="708" w:right="0" w:firstLine="0"/>
        <w:jc w:val="left"/>
      </w:pPr>
      <w:r>
        <w:t xml:space="preserve"> </w:t>
      </w:r>
    </w:p>
    <w:p w:rsidR="00C17E28" w:rsidRDefault="009C1D31">
      <w:pPr>
        <w:ind w:left="-15" w:right="0"/>
      </w:pPr>
      <w:r>
        <w:t>Основные мероприятия поддержки предпринимательства софинансируются за счет средств федерального бюджета.  В текущем году республика приняла активное учас</w:t>
      </w:r>
      <w:r>
        <w:t xml:space="preserve">тие в конкурсном отборе и представила заявки по 19 мероприятиям.  </w:t>
      </w:r>
    </w:p>
    <w:p w:rsidR="00C17E28" w:rsidRDefault="009C1D31">
      <w:pPr>
        <w:ind w:left="-15" w:right="0"/>
      </w:pPr>
      <w:r>
        <w:t xml:space="preserve">21 июля 2014 года конкурсный отбор был завершен. В результате проведенной с Минэкономразвития РФ работы при начальном лимите средств федерального бюджета в размере 454,6 млн. руб. итоговый </w:t>
      </w:r>
      <w:r>
        <w:t xml:space="preserve">размер софинансирования увеличен до 1829,6 млн. рублей </w:t>
      </w:r>
      <w:r>
        <w:rPr>
          <w:i/>
        </w:rPr>
        <w:t>(это значительно больше, чем по другим субъектам Российской Федерации и составляет 10% от общего объема финансирования из федерального бюджета)</w:t>
      </w:r>
      <w:r>
        <w:t xml:space="preserve">. Для сравнения, в 2013 году </w:t>
      </w:r>
      <w:r>
        <w:lastRenderedPageBreak/>
        <w:t xml:space="preserve">бюджету Республики Татарстан </w:t>
      </w:r>
      <w:r>
        <w:t xml:space="preserve">на поддержку малого и среднего предпринимательства была предоставлена субсидия в сумме 1054 млн. руб. </w:t>
      </w:r>
    </w:p>
    <w:p w:rsidR="00C17E28" w:rsidRDefault="009C1D31">
      <w:pPr>
        <w:ind w:left="-15" w:right="0"/>
      </w:pPr>
      <w:r>
        <w:t xml:space="preserve">Таким образом, общий объем финансирования мероприятий поддержки предпринимательства в 2014 году составит около 2,7 млрд. рублей </w:t>
      </w:r>
      <w:r>
        <w:rPr>
          <w:i/>
        </w:rPr>
        <w:t>(справочно: в 2013 году –</w:t>
      </w:r>
      <w:r>
        <w:rPr>
          <w:i/>
        </w:rPr>
        <w:t xml:space="preserve"> 2,8 млрд.рублей, в т.ч. – 805 тыс.рублей переходящие средства 2012 года)</w:t>
      </w:r>
      <w:r>
        <w:t xml:space="preserve">. </w:t>
      </w:r>
    </w:p>
    <w:p w:rsidR="00C17E28" w:rsidRDefault="009C1D31">
      <w:pPr>
        <w:spacing w:after="15" w:line="259" w:lineRule="auto"/>
        <w:ind w:left="708" w:right="0" w:firstLine="0"/>
        <w:jc w:val="left"/>
      </w:pPr>
      <w:r>
        <w:t xml:space="preserve"> </w:t>
      </w:r>
    </w:p>
    <w:p w:rsidR="00C17E28" w:rsidRDefault="009C1D31">
      <w:pPr>
        <w:spacing w:after="3" w:line="267" w:lineRule="auto"/>
        <w:ind w:left="1555" w:right="0" w:hanging="10"/>
      </w:pPr>
      <w:r>
        <w:rPr>
          <w:rFonts w:ascii="Times New Roman" w:eastAsia="Times New Roman" w:hAnsi="Times New Roman" w:cs="Times New Roman"/>
          <w:i/>
        </w:rPr>
        <w:t xml:space="preserve">Финансирование по мероприятиям: </w:t>
      </w:r>
    </w:p>
    <w:p w:rsidR="00C17E28" w:rsidRDefault="009C1D31">
      <w:pPr>
        <w:numPr>
          <w:ilvl w:val="0"/>
          <w:numId w:val="4"/>
        </w:numPr>
        <w:spacing w:after="3" w:line="267" w:lineRule="auto"/>
        <w:ind w:right="0" w:hanging="564"/>
      </w:pPr>
      <w:r>
        <w:rPr>
          <w:rFonts w:ascii="Times New Roman" w:eastAsia="Times New Roman" w:hAnsi="Times New Roman" w:cs="Times New Roman"/>
          <w:i/>
        </w:rPr>
        <w:t xml:space="preserve">программа «Лизинг-грант» – 555,5 млн.рублей; </w:t>
      </w:r>
    </w:p>
    <w:p w:rsidR="00C17E28" w:rsidRDefault="009C1D31">
      <w:pPr>
        <w:numPr>
          <w:ilvl w:val="0"/>
          <w:numId w:val="4"/>
        </w:numPr>
        <w:spacing w:after="3" w:line="267" w:lineRule="auto"/>
        <w:ind w:right="0" w:hanging="564"/>
      </w:pPr>
      <w:r>
        <w:rPr>
          <w:rFonts w:ascii="Times New Roman" w:eastAsia="Times New Roman" w:hAnsi="Times New Roman" w:cs="Times New Roman"/>
          <w:i/>
        </w:rPr>
        <w:t xml:space="preserve">субсидирование </w:t>
      </w:r>
      <w:r>
        <w:rPr>
          <w:rFonts w:ascii="Times New Roman" w:eastAsia="Times New Roman" w:hAnsi="Times New Roman" w:cs="Times New Roman"/>
          <w:i/>
        </w:rPr>
        <w:tab/>
        <w:t xml:space="preserve">затрат </w:t>
      </w:r>
      <w:r>
        <w:rPr>
          <w:rFonts w:ascii="Times New Roman" w:eastAsia="Times New Roman" w:hAnsi="Times New Roman" w:cs="Times New Roman"/>
          <w:i/>
        </w:rPr>
        <w:tab/>
        <w:t xml:space="preserve">на </w:t>
      </w:r>
      <w:r>
        <w:rPr>
          <w:rFonts w:ascii="Times New Roman" w:eastAsia="Times New Roman" w:hAnsi="Times New Roman" w:cs="Times New Roman"/>
          <w:i/>
        </w:rPr>
        <w:tab/>
        <w:t xml:space="preserve">приобретение </w:t>
      </w:r>
      <w:r>
        <w:rPr>
          <w:rFonts w:ascii="Times New Roman" w:eastAsia="Times New Roman" w:hAnsi="Times New Roman" w:cs="Times New Roman"/>
          <w:i/>
        </w:rPr>
        <w:tab/>
        <w:t xml:space="preserve">оборудования </w:t>
      </w:r>
    </w:p>
    <w:p w:rsidR="00C17E28" w:rsidRDefault="009C1D31">
      <w:pPr>
        <w:spacing w:after="39" w:line="267" w:lineRule="auto"/>
        <w:ind w:left="1555" w:right="0" w:hanging="10"/>
      </w:pPr>
      <w:r>
        <w:rPr>
          <w:rFonts w:ascii="Times New Roman" w:eastAsia="Times New Roman" w:hAnsi="Times New Roman" w:cs="Times New Roman"/>
          <w:i/>
        </w:rPr>
        <w:t xml:space="preserve">резидентов промышленных площадок – 186 </w:t>
      </w:r>
      <w:r>
        <w:rPr>
          <w:rFonts w:ascii="Times New Roman" w:eastAsia="Times New Roman" w:hAnsi="Times New Roman" w:cs="Times New Roman"/>
          <w:i/>
        </w:rPr>
        <w:t xml:space="preserve">млн.рублей; </w:t>
      </w:r>
    </w:p>
    <w:p w:rsidR="00C17E28" w:rsidRDefault="009C1D31">
      <w:pPr>
        <w:numPr>
          <w:ilvl w:val="0"/>
          <w:numId w:val="4"/>
        </w:numPr>
        <w:spacing w:after="3" w:line="267" w:lineRule="auto"/>
        <w:ind w:right="0" w:hanging="564"/>
      </w:pPr>
      <w:r>
        <w:rPr>
          <w:rFonts w:ascii="Times New Roman" w:eastAsia="Times New Roman" w:hAnsi="Times New Roman" w:cs="Times New Roman"/>
          <w:i/>
        </w:rPr>
        <w:t xml:space="preserve">субсидирование затрат по оплате процентной ставки по кредитам резидентов  промышленных площадок – 12,8 млн.рублей;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создание промышленного парка «Тюлячи» – 200 млн.рублей;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создание центров прототипирования (ЦП) робототехники – </w:t>
      </w:r>
    </w:p>
    <w:p w:rsidR="00C17E28" w:rsidRDefault="009C1D31">
      <w:pPr>
        <w:spacing w:after="33" w:line="267" w:lineRule="auto"/>
        <w:ind w:left="1555" w:right="0" w:hanging="10"/>
      </w:pPr>
      <w:r>
        <w:rPr>
          <w:rFonts w:ascii="Times New Roman" w:eastAsia="Times New Roman" w:hAnsi="Times New Roman" w:cs="Times New Roman"/>
          <w:i/>
        </w:rPr>
        <w:t>186,9 млн.ру</w:t>
      </w:r>
      <w:r>
        <w:rPr>
          <w:rFonts w:ascii="Times New Roman" w:eastAsia="Times New Roman" w:hAnsi="Times New Roman" w:cs="Times New Roman"/>
          <w:i/>
        </w:rPr>
        <w:t xml:space="preserve">блей; </w:t>
      </w:r>
    </w:p>
    <w:p w:rsidR="00C17E28" w:rsidRDefault="009C1D31">
      <w:pPr>
        <w:numPr>
          <w:ilvl w:val="0"/>
          <w:numId w:val="4"/>
        </w:numPr>
        <w:spacing w:after="3" w:line="267" w:lineRule="auto"/>
        <w:ind w:right="0" w:hanging="564"/>
      </w:pPr>
      <w:r>
        <w:rPr>
          <w:rFonts w:ascii="Times New Roman" w:eastAsia="Times New Roman" w:hAnsi="Times New Roman" w:cs="Times New Roman"/>
          <w:i/>
        </w:rPr>
        <w:t xml:space="preserve">создание центра цифровых технологий (ЦЦТ)– 449,2 млн.рублей; </w:t>
      </w:r>
    </w:p>
    <w:p w:rsidR="00C17E28" w:rsidRDefault="009C1D31">
      <w:pPr>
        <w:numPr>
          <w:ilvl w:val="0"/>
          <w:numId w:val="4"/>
        </w:numPr>
        <w:spacing w:after="3" w:line="267" w:lineRule="auto"/>
        <w:ind w:right="0" w:hanging="564"/>
      </w:pPr>
      <w:r>
        <w:rPr>
          <w:rFonts w:ascii="Times New Roman" w:eastAsia="Times New Roman" w:hAnsi="Times New Roman" w:cs="Times New Roman"/>
          <w:i/>
        </w:rPr>
        <w:t xml:space="preserve">создание инжинирингового центра (РЦИ) биотехнологии –  </w:t>
      </w:r>
    </w:p>
    <w:p w:rsidR="00C17E28" w:rsidRDefault="009C1D31">
      <w:pPr>
        <w:spacing w:after="34" w:line="267" w:lineRule="auto"/>
        <w:ind w:left="1555" w:right="0" w:hanging="10"/>
      </w:pPr>
      <w:r>
        <w:rPr>
          <w:rFonts w:ascii="Times New Roman" w:eastAsia="Times New Roman" w:hAnsi="Times New Roman" w:cs="Times New Roman"/>
          <w:i/>
        </w:rPr>
        <w:t xml:space="preserve">26,6 млн.рублей; </w:t>
      </w:r>
    </w:p>
    <w:p w:rsidR="00C17E28" w:rsidRDefault="009C1D31">
      <w:pPr>
        <w:numPr>
          <w:ilvl w:val="0"/>
          <w:numId w:val="4"/>
        </w:numPr>
        <w:spacing w:after="3" w:line="267" w:lineRule="auto"/>
        <w:ind w:right="0" w:hanging="564"/>
      </w:pPr>
      <w:r>
        <w:rPr>
          <w:rFonts w:ascii="Times New Roman" w:eastAsia="Times New Roman" w:hAnsi="Times New Roman" w:cs="Times New Roman"/>
          <w:i/>
        </w:rPr>
        <w:t xml:space="preserve">развитие РЦИ медицинских стимуляторов – 183,5 млн.рублей; </w:t>
      </w:r>
    </w:p>
    <w:p w:rsidR="00C17E28" w:rsidRDefault="009C1D31">
      <w:pPr>
        <w:numPr>
          <w:ilvl w:val="0"/>
          <w:numId w:val="4"/>
        </w:numPr>
        <w:spacing w:after="3" w:line="267" w:lineRule="auto"/>
        <w:ind w:right="0" w:hanging="564"/>
      </w:pPr>
      <w:r>
        <w:rPr>
          <w:rFonts w:ascii="Times New Roman" w:eastAsia="Times New Roman" w:hAnsi="Times New Roman" w:cs="Times New Roman"/>
          <w:i/>
        </w:rPr>
        <w:t xml:space="preserve">развитие РЦИ «КАИ-Лазер» – 175 млн.рублей; </w:t>
      </w:r>
    </w:p>
    <w:p w:rsidR="00C17E28" w:rsidRDefault="009C1D31">
      <w:pPr>
        <w:numPr>
          <w:ilvl w:val="0"/>
          <w:numId w:val="4"/>
        </w:numPr>
        <w:spacing w:after="3" w:line="267" w:lineRule="auto"/>
        <w:ind w:right="0" w:hanging="564"/>
      </w:pPr>
      <w:r>
        <w:rPr>
          <w:rFonts w:ascii="Times New Roman" w:eastAsia="Times New Roman" w:hAnsi="Times New Roman" w:cs="Times New Roman"/>
          <w:i/>
        </w:rPr>
        <w:t xml:space="preserve">развитие РЦИ химических технологий – 255,3 млн.рублей; </w:t>
      </w:r>
    </w:p>
    <w:p w:rsidR="00C17E28" w:rsidRDefault="009C1D31">
      <w:pPr>
        <w:numPr>
          <w:ilvl w:val="0"/>
          <w:numId w:val="4"/>
        </w:numPr>
        <w:spacing w:after="3" w:line="267" w:lineRule="auto"/>
        <w:ind w:right="0" w:hanging="564"/>
      </w:pPr>
      <w:r>
        <w:rPr>
          <w:rFonts w:ascii="Times New Roman" w:eastAsia="Times New Roman" w:hAnsi="Times New Roman" w:cs="Times New Roman"/>
          <w:i/>
        </w:rPr>
        <w:t xml:space="preserve">фондирование Гарантийного фонда – 166,7 млн.рублей;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создание центра кластерного развития (Камский) –  </w:t>
      </w:r>
    </w:p>
    <w:p w:rsidR="00C17E28" w:rsidRDefault="009C1D31">
      <w:pPr>
        <w:spacing w:after="34" w:line="267" w:lineRule="auto"/>
        <w:ind w:left="1555" w:right="0" w:hanging="10"/>
      </w:pPr>
      <w:r>
        <w:rPr>
          <w:rFonts w:ascii="Times New Roman" w:eastAsia="Times New Roman" w:hAnsi="Times New Roman" w:cs="Times New Roman"/>
          <w:i/>
        </w:rPr>
        <w:t xml:space="preserve">30,9 млн.рублей; </w:t>
      </w:r>
    </w:p>
    <w:p w:rsidR="00C17E28" w:rsidRDefault="009C1D31">
      <w:pPr>
        <w:numPr>
          <w:ilvl w:val="0"/>
          <w:numId w:val="4"/>
        </w:numPr>
        <w:spacing w:after="3" w:line="267" w:lineRule="auto"/>
        <w:ind w:right="0" w:hanging="564"/>
      </w:pPr>
      <w:r>
        <w:rPr>
          <w:rFonts w:ascii="Times New Roman" w:eastAsia="Times New Roman" w:hAnsi="Times New Roman" w:cs="Times New Roman"/>
          <w:i/>
        </w:rPr>
        <w:t xml:space="preserve">создание фонда финансовой поддержки – 20,0 млн.рублей;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развитие центра подд</w:t>
      </w:r>
      <w:r>
        <w:rPr>
          <w:rFonts w:ascii="Times New Roman" w:eastAsia="Times New Roman" w:hAnsi="Times New Roman" w:cs="Times New Roman"/>
          <w:i/>
        </w:rPr>
        <w:t xml:space="preserve">ержки предпринимательства –  </w:t>
      </w:r>
    </w:p>
    <w:p w:rsidR="00C17E28" w:rsidRDefault="009C1D31">
      <w:pPr>
        <w:spacing w:after="39" w:line="267" w:lineRule="auto"/>
        <w:ind w:left="1555" w:right="0" w:hanging="10"/>
      </w:pPr>
      <w:r>
        <w:rPr>
          <w:rFonts w:ascii="Times New Roman" w:eastAsia="Times New Roman" w:hAnsi="Times New Roman" w:cs="Times New Roman"/>
          <w:i/>
        </w:rPr>
        <w:t xml:space="preserve">29,8 млн.рублей; </w:t>
      </w:r>
    </w:p>
    <w:p w:rsidR="00C17E28" w:rsidRDefault="009C1D31">
      <w:pPr>
        <w:numPr>
          <w:ilvl w:val="0"/>
          <w:numId w:val="4"/>
        </w:numPr>
        <w:spacing w:after="3" w:line="267" w:lineRule="auto"/>
        <w:ind w:right="0" w:hanging="564"/>
      </w:pPr>
      <w:r>
        <w:rPr>
          <w:rFonts w:ascii="Times New Roman" w:eastAsia="Times New Roman" w:hAnsi="Times New Roman" w:cs="Times New Roman"/>
          <w:i/>
        </w:rPr>
        <w:t xml:space="preserve">развитие </w:t>
      </w:r>
      <w:r>
        <w:rPr>
          <w:rFonts w:ascii="Times New Roman" w:eastAsia="Times New Roman" w:hAnsi="Times New Roman" w:cs="Times New Roman"/>
          <w:i/>
        </w:rPr>
        <w:tab/>
        <w:t xml:space="preserve">центра </w:t>
      </w:r>
      <w:r>
        <w:rPr>
          <w:rFonts w:ascii="Times New Roman" w:eastAsia="Times New Roman" w:hAnsi="Times New Roman" w:cs="Times New Roman"/>
          <w:i/>
        </w:rPr>
        <w:tab/>
        <w:t xml:space="preserve">поддержки </w:t>
      </w:r>
      <w:r>
        <w:rPr>
          <w:rFonts w:ascii="Times New Roman" w:eastAsia="Times New Roman" w:hAnsi="Times New Roman" w:cs="Times New Roman"/>
          <w:i/>
        </w:rPr>
        <w:tab/>
        <w:t xml:space="preserve">экспортно-ориентированных </w:t>
      </w:r>
    </w:p>
    <w:p w:rsidR="00C17E28" w:rsidRDefault="009C1D31">
      <w:pPr>
        <w:tabs>
          <w:tab w:val="center" w:pos="2188"/>
          <w:tab w:val="center" w:pos="3702"/>
          <w:tab w:val="center" w:pos="4660"/>
          <w:tab w:val="center" w:pos="5726"/>
          <w:tab w:val="center" w:pos="8083"/>
          <w:tab w:val="right" w:pos="10070"/>
        </w:tabs>
        <w:spacing w:after="3" w:line="267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i/>
        </w:rPr>
        <w:t xml:space="preserve">субъектов </w:t>
      </w:r>
      <w:r>
        <w:rPr>
          <w:rFonts w:ascii="Times New Roman" w:eastAsia="Times New Roman" w:hAnsi="Times New Roman" w:cs="Times New Roman"/>
          <w:i/>
        </w:rPr>
        <w:tab/>
        <w:t xml:space="preserve">малого </w:t>
      </w:r>
      <w:r>
        <w:rPr>
          <w:rFonts w:ascii="Times New Roman" w:eastAsia="Times New Roman" w:hAnsi="Times New Roman" w:cs="Times New Roman"/>
          <w:i/>
        </w:rPr>
        <w:tab/>
        <w:t xml:space="preserve">и </w:t>
      </w:r>
      <w:r>
        <w:rPr>
          <w:rFonts w:ascii="Times New Roman" w:eastAsia="Times New Roman" w:hAnsi="Times New Roman" w:cs="Times New Roman"/>
          <w:i/>
        </w:rPr>
        <w:tab/>
        <w:t xml:space="preserve">среднего </w:t>
      </w:r>
      <w:r>
        <w:rPr>
          <w:rFonts w:ascii="Times New Roman" w:eastAsia="Times New Roman" w:hAnsi="Times New Roman" w:cs="Times New Roman"/>
          <w:i/>
        </w:rPr>
        <w:tab/>
        <w:t xml:space="preserve">предпринимательства </w:t>
      </w:r>
      <w:r>
        <w:rPr>
          <w:rFonts w:ascii="Times New Roman" w:eastAsia="Times New Roman" w:hAnsi="Times New Roman" w:cs="Times New Roman"/>
          <w:i/>
        </w:rPr>
        <w:tab/>
        <w:t xml:space="preserve">–  </w:t>
      </w:r>
    </w:p>
    <w:p w:rsidR="00C17E28" w:rsidRDefault="009C1D31">
      <w:pPr>
        <w:spacing w:after="33" w:line="267" w:lineRule="auto"/>
        <w:ind w:left="1555" w:right="0" w:hanging="10"/>
      </w:pPr>
      <w:r>
        <w:rPr>
          <w:rFonts w:ascii="Times New Roman" w:eastAsia="Times New Roman" w:hAnsi="Times New Roman" w:cs="Times New Roman"/>
          <w:i/>
        </w:rPr>
        <w:t xml:space="preserve">16,7 млн.рублей; </w:t>
      </w:r>
    </w:p>
    <w:p w:rsidR="00C17E28" w:rsidRDefault="009C1D31">
      <w:pPr>
        <w:numPr>
          <w:ilvl w:val="0"/>
          <w:numId w:val="4"/>
        </w:numPr>
        <w:spacing w:after="3" w:line="267" w:lineRule="auto"/>
        <w:ind w:right="0" w:hanging="564"/>
      </w:pPr>
      <w:r>
        <w:rPr>
          <w:rFonts w:ascii="Times New Roman" w:eastAsia="Times New Roman" w:hAnsi="Times New Roman" w:cs="Times New Roman"/>
          <w:i/>
        </w:rPr>
        <w:t xml:space="preserve">развитие бизнес инкубаторов – 24,0 млн.рублей. </w:t>
      </w:r>
    </w:p>
    <w:p w:rsidR="00C17E28" w:rsidRDefault="009C1D31">
      <w:pPr>
        <w:spacing w:after="134" w:line="259" w:lineRule="auto"/>
        <w:ind w:left="708" w:right="0" w:firstLine="0"/>
        <w:jc w:val="left"/>
      </w:pPr>
      <w:r>
        <w:t xml:space="preserve"> </w:t>
      </w:r>
    </w:p>
    <w:p w:rsidR="00C17E28" w:rsidRDefault="009C1D31">
      <w:pPr>
        <w:spacing w:after="39"/>
        <w:ind w:left="-15" w:right="0"/>
      </w:pPr>
      <w:r>
        <w:t xml:space="preserve">В республике будет продолжена реализация уже известных программ, а также ряд новых направлений. </w:t>
      </w:r>
    </w:p>
    <w:p w:rsidR="00C17E28" w:rsidRDefault="009C1D31">
      <w:pPr>
        <w:numPr>
          <w:ilvl w:val="0"/>
          <w:numId w:val="5"/>
        </w:numPr>
        <w:spacing w:after="3" w:line="267" w:lineRule="auto"/>
        <w:ind w:right="0" w:firstLine="708"/>
      </w:pPr>
      <w:r>
        <w:rPr>
          <w:rFonts w:ascii="Times New Roman" w:eastAsia="Times New Roman" w:hAnsi="Times New Roman" w:cs="Times New Roman"/>
          <w:i/>
        </w:rPr>
        <w:t xml:space="preserve">«Субсидирование затрат на приобретение оборудования (для резидентов промышленных площадок);  </w:t>
      </w:r>
    </w:p>
    <w:p w:rsidR="00C17E28" w:rsidRDefault="009C1D31">
      <w:pPr>
        <w:numPr>
          <w:ilvl w:val="0"/>
          <w:numId w:val="5"/>
        </w:numPr>
        <w:spacing w:after="3" w:line="267" w:lineRule="auto"/>
        <w:ind w:right="0" w:firstLine="708"/>
      </w:pPr>
      <w:r>
        <w:rPr>
          <w:rFonts w:ascii="Times New Roman" w:eastAsia="Times New Roman" w:hAnsi="Times New Roman" w:cs="Times New Roman"/>
          <w:i/>
        </w:rPr>
        <w:t>«Субсидирование затрат, связанных с уплатой процентов по кредитам</w:t>
      </w:r>
      <w:r>
        <w:rPr>
          <w:rFonts w:ascii="Times New Roman" w:eastAsia="Times New Roman" w:hAnsi="Times New Roman" w:cs="Times New Roman"/>
          <w:i/>
        </w:rPr>
        <w:t xml:space="preserve">, привлеченным в российских кредитных организациях (для резидентов промышленных площадок)».  </w:t>
      </w:r>
    </w:p>
    <w:p w:rsidR="00C17E28" w:rsidRDefault="009C1D31">
      <w:pPr>
        <w:spacing w:after="3" w:line="267" w:lineRule="auto"/>
        <w:ind w:left="0" w:right="0" w:firstLine="708"/>
      </w:pPr>
      <w:r>
        <w:rPr>
          <w:rFonts w:ascii="Times New Roman" w:eastAsia="Times New Roman" w:hAnsi="Times New Roman" w:cs="Times New Roman"/>
          <w:i/>
        </w:rPr>
        <w:t xml:space="preserve">«Создание фонда финансовой поддержки субъектов малого и среднего предпринимательства». </w:t>
      </w:r>
    </w:p>
    <w:p w:rsidR="00C17E28" w:rsidRDefault="009C1D31">
      <w:pPr>
        <w:spacing w:after="0" w:line="259" w:lineRule="auto"/>
        <w:ind w:left="1560" w:right="0" w:firstLine="0"/>
        <w:jc w:val="lef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C17E28" w:rsidRDefault="009C1D31">
      <w:pPr>
        <w:ind w:left="-15" w:right="0"/>
      </w:pPr>
      <w:r>
        <w:t>Более 70% всех средств на поддержку будет направлено на создание и разви</w:t>
      </w:r>
      <w:r>
        <w:t xml:space="preserve">тие объектов инфраструктуры: </w:t>
      </w:r>
    </w:p>
    <w:p w:rsidR="00C17E28" w:rsidRDefault="009C1D31">
      <w:pPr>
        <w:spacing w:after="134" w:line="259" w:lineRule="auto"/>
        <w:ind w:left="718" w:right="0" w:hanging="10"/>
      </w:pPr>
      <w:r>
        <w:rPr>
          <w:b/>
        </w:rPr>
        <w:t xml:space="preserve">1. Создание промышленных парков и площадок. </w:t>
      </w:r>
    </w:p>
    <w:p w:rsidR="00C17E28" w:rsidRDefault="009C1D31">
      <w:pPr>
        <w:spacing w:after="134" w:line="259" w:lineRule="auto"/>
        <w:ind w:left="10" w:right="-7" w:hanging="10"/>
        <w:jc w:val="right"/>
      </w:pPr>
      <w:r>
        <w:t xml:space="preserve">Общий объем на создание  промышленного парка «Тюлячи» составил </w:t>
      </w:r>
    </w:p>
    <w:p w:rsidR="00C17E28" w:rsidRDefault="009C1D31">
      <w:pPr>
        <w:ind w:left="-15" w:right="0" w:firstLine="0"/>
      </w:pPr>
      <w:r>
        <w:t xml:space="preserve">200  млн.рублей. Проект начат в 2013 году за счет собственных средств и </w:t>
      </w:r>
      <w:r>
        <w:t xml:space="preserve">средств республиканского бюджетов.   В 2014 году на площадке панируется продолжить работы по созданию инженерной инфраструктуры.   </w:t>
      </w:r>
    </w:p>
    <w:p w:rsidR="00C17E28" w:rsidRDefault="009C1D31">
      <w:pPr>
        <w:spacing w:after="13" w:line="248" w:lineRule="auto"/>
        <w:ind w:left="1555" w:right="0" w:hanging="10"/>
      </w:pPr>
      <w:r>
        <w:rPr>
          <w:i/>
        </w:rPr>
        <w:t xml:space="preserve">Ожидаемые показатели к моменту выхода на проектную мощность (2018 год): </w:t>
      </w:r>
    </w:p>
    <w:p w:rsidR="00C17E28" w:rsidRDefault="009C1D31">
      <w:pPr>
        <w:numPr>
          <w:ilvl w:val="1"/>
          <w:numId w:val="6"/>
        </w:numPr>
        <w:spacing w:after="13" w:line="248" w:lineRule="auto"/>
        <w:ind w:left="1696" w:right="0" w:hanging="151"/>
      </w:pPr>
      <w:r>
        <w:rPr>
          <w:i/>
        </w:rPr>
        <w:t xml:space="preserve">размещение </w:t>
      </w:r>
      <w:r>
        <w:rPr>
          <w:i/>
        </w:rPr>
        <w:tab/>
        <w:t xml:space="preserve">30-35 </w:t>
      </w:r>
      <w:r>
        <w:rPr>
          <w:i/>
        </w:rPr>
        <w:tab/>
        <w:t xml:space="preserve">современных, </w:t>
      </w:r>
      <w:r>
        <w:rPr>
          <w:i/>
        </w:rPr>
        <w:tab/>
        <w:t>высокотехнологичны</w:t>
      </w:r>
      <w:r>
        <w:rPr>
          <w:i/>
        </w:rPr>
        <w:t xml:space="preserve">х производств; </w:t>
      </w:r>
    </w:p>
    <w:p w:rsidR="00C17E28" w:rsidRDefault="009C1D31">
      <w:pPr>
        <w:numPr>
          <w:ilvl w:val="1"/>
          <w:numId w:val="6"/>
        </w:numPr>
        <w:spacing w:after="13" w:line="248" w:lineRule="auto"/>
        <w:ind w:left="1696" w:right="0" w:hanging="151"/>
      </w:pPr>
      <w:r>
        <w:rPr>
          <w:i/>
        </w:rPr>
        <w:t xml:space="preserve">создание порядка 604 рабочих мест; </w:t>
      </w:r>
    </w:p>
    <w:p w:rsidR="00C17E28" w:rsidRDefault="009C1D31">
      <w:pPr>
        <w:numPr>
          <w:ilvl w:val="1"/>
          <w:numId w:val="6"/>
        </w:numPr>
        <w:spacing w:after="13" w:line="248" w:lineRule="auto"/>
        <w:ind w:left="1696" w:right="0" w:hanging="151"/>
      </w:pPr>
      <w:r>
        <w:rPr>
          <w:i/>
        </w:rPr>
        <w:t xml:space="preserve">совокупный объем продукции около 1,5 млрд. рублей; </w:t>
      </w:r>
    </w:p>
    <w:p w:rsidR="00C17E28" w:rsidRDefault="009C1D31">
      <w:pPr>
        <w:numPr>
          <w:ilvl w:val="1"/>
          <w:numId w:val="6"/>
        </w:numPr>
        <w:spacing w:after="13" w:line="248" w:lineRule="auto"/>
        <w:ind w:left="1696" w:right="0" w:hanging="151"/>
      </w:pPr>
      <w:r>
        <w:rPr>
          <w:i/>
        </w:rPr>
        <w:t xml:space="preserve">объем налоговых отчислений – более 200 млн. рублей в год. </w:t>
      </w:r>
    </w:p>
    <w:p w:rsidR="00C17E28" w:rsidRDefault="009C1D31">
      <w:pPr>
        <w:spacing w:after="0" w:line="259" w:lineRule="auto"/>
        <w:ind w:left="1560" w:right="0" w:firstLine="0"/>
        <w:jc w:val="left"/>
      </w:pPr>
      <w:r>
        <w:rPr>
          <w:i/>
        </w:rPr>
        <w:t xml:space="preserve"> </w:t>
      </w:r>
    </w:p>
    <w:p w:rsidR="00C17E28" w:rsidRDefault="009C1D31">
      <w:pPr>
        <w:spacing w:after="3" w:line="357" w:lineRule="auto"/>
        <w:ind w:left="-15" w:right="0" w:firstLine="708"/>
      </w:pPr>
      <w:r>
        <w:rPr>
          <w:b/>
        </w:rPr>
        <w:t>2. Создание и развитие объектов инновационной инфраструктуры (инжиниринговых центров, центр</w:t>
      </w:r>
      <w:r>
        <w:rPr>
          <w:b/>
        </w:rPr>
        <w:t xml:space="preserve">ов прототипирования и центра кластерного развития).  </w:t>
      </w:r>
    </w:p>
    <w:p w:rsidR="00C17E28" w:rsidRDefault="009C1D31">
      <w:pPr>
        <w:ind w:left="-15" w:right="0"/>
      </w:pPr>
      <w:r>
        <w:t xml:space="preserve">Республика продолжает наращивать инновационный потенциал. В текущем году на нашей «инновационной карте» появятся несколько новых объектов инновационной инфраструктуры, это: </w:t>
      </w:r>
    </w:p>
    <w:p w:rsidR="00C17E28" w:rsidRDefault="009C1D31">
      <w:pPr>
        <w:spacing w:after="3" w:line="356" w:lineRule="auto"/>
        <w:ind w:left="-15" w:right="0" w:firstLine="708"/>
      </w:pPr>
      <w:r>
        <w:rPr>
          <w:b/>
        </w:rPr>
        <w:t>Региональный центр инжинирин</w:t>
      </w:r>
      <w:r>
        <w:rPr>
          <w:b/>
        </w:rPr>
        <w:t xml:space="preserve">га биотехнологий Республики Татарстан. </w:t>
      </w:r>
    </w:p>
    <w:p w:rsidR="00C17E28" w:rsidRDefault="009C1D31">
      <w:pPr>
        <w:ind w:left="-15" w:right="0"/>
      </w:pPr>
      <w:r>
        <w:t xml:space="preserve">Целью проекта является обеспечение инфраструктуры исследовательской и научной деятельности в сфере производства пищевых продуктов, кормов и кормовых добавок для использования ресурсной базы Российской Федерации.  </w:t>
      </w:r>
    </w:p>
    <w:p w:rsidR="00C17E28" w:rsidRDefault="009C1D31">
      <w:pPr>
        <w:ind w:left="-15" w:right="0"/>
      </w:pPr>
      <w:r>
        <w:rPr>
          <w:b/>
        </w:rPr>
        <w:t>Центр прототипирования и внедрения отечественной робототехники</w:t>
      </w:r>
      <w:r>
        <w:t xml:space="preserve"> - инженерно-производственный комплекс, специализирующийся на разработке полной системы производства - от компьютерного проектирования, изготовления прототипов роботизированных комплексов и обор</w:t>
      </w:r>
      <w:r>
        <w:t xml:space="preserve">удования до последующего технологического оснащения (внедрения) на предприятия - участников Камского инновационного территориального производственного кластера. </w:t>
      </w:r>
    </w:p>
    <w:p w:rsidR="00C17E28" w:rsidRDefault="009C1D31">
      <w:pPr>
        <w:ind w:left="-15" w:right="0"/>
      </w:pPr>
      <w:r>
        <w:t xml:space="preserve">Центр включает две специализированные «лаборатории» со свободным доступом для малых и средних </w:t>
      </w:r>
      <w:r>
        <w:t xml:space="preserve">предприятий. В 1-ой лаборатории,  функционирующей в рамках технопарка в сфере высоких технологий «ИТПарк» г. Набережные Челны, оказываются услуги по прототипированию и внедрению роботизированных комплексов, а также компонент оборудования. 2-ая лаборатория </w:t>
      </w:r>
      <w:r>
        <w:t xml:space="preserve">на базе КНИТУ-КАИ им. А.Н.Туполева (г. Казань) обеспечивает, помимо указанных функций, разработку промышленных технологий.  </w:t>
      </w:r>
    </w:p>
    <w:p w:rsidR="00C17E28" w:rsidRDefault="009C1D31">
      <w:pPr>
        <w:ind w:left="-15" w:right="0"/>
      </w:pPr>
      <w:r>
        <w:rPr>
          <w:b/>
        </w:rPr>
        <w:t>Центр цифровых технологий</w:t>
      </w:r>
      <w:r>
        <w:t xml:space="preserve"> - проект предполагает создание центра прототипирования с высокотехнологическим опытно-</w:t>
      </w:r>
      <w:r>
        <w:t xml:space="preserve">экспериментальным производством и организацию эффективного функционирования создаваемого центра в сфере цифровых технологий точного литья, трёхмерной печати, трёхмерного сканирования и сертификации продукции </w:t>
      </w:r>
    </w:p>
    <w:p w:rsidR="00C17E28" w:rsidRDefault="009C1D31">
      <w:pPr>
        <w:spacing w:after="47"/>
        <w:ind w:left="-15" w:right="0"/>
      </w:pPr>
      <w:r>
        <w:rPr>
          <w:b/>
        </w:rPr>
        <w:t>Камский центр кластерного развития</w:t>
      </w:r>
      <w:r>
        <w:t xml:space="preserve"> субъектов ма</w:t>
      </w:r>
      <w:r>
        <w:t xml:space="preserve">лого и среднего предпринимательства, основными направлениями деятельности которого являются: </w:t>
      </w:r>
    </w:p>
    <w:p w:rsidR="00C17E28" w:rsidRDefault="009C1D31">
      <w:pPr>
        <w:numPr>
          <w:ilvl w:val="0"/>
          <w:numId w:val="7"/>
        </w:numPr>
        <w:spacing w:after="142" w:line="259" w:lineRule="auto"/>
        <w:ind w:right="0"/>
      </w:pPr>
      <w:r>
        <w:t xml:space="preserve">Разработка и реализация совместных кластерных проектов; </w:t>
      </w:r>
    </w:p>
    <w:p w:rsidR="00C17E28" w:rsidRDefault="009C1D31">
      <w:pPr>
        <w:numPr>
          <w:ilvl w:val="0"/>
          <w:numId w:val="7"/>
        </w:numPr>
        <w:spacing w:after="47"/>
        <w:ind w:right="0"/>
      </w:pPr>
      <w:r>
        <w:t>Проведение информационных кампаний по позиционированию и продвижению машиностроительного и ИТ кластеров в</w:t>
      </w:r>
      <w:r>
        <w:t xml:space="preserve"> Камском районе Республики Татарстан;  </w:t>
      </w:r>
    </w:p>
    <w:p w:rsidR="00C17E28" w:rsidRDefault="009C1D31">
      <w:pPr>
        <w:numPr>
          <w:ilvl w:val="0"/>
          <w:numId w:val="7"/>
        </w:numPr>
        <w:ind w:right="0"/>
      </w:pPr>
      <w:r>
        <w:t xml:space="preserve">Оказание услуг субъектам малого и среднего бизнеса – участникам кластеров). </w:t>
      </w:r>
    </w:p>
    <w:p w:rsidR="00C17E28" w:rsidRDefault="009C1D31">
      <w:pPr>
        <w:spacing w:after="134" w:line="259" w:lineRule="auto"/>
        <w:ind w:left="708" w:right="0" w:firstLine="0"/>
        <w:jc w:val="left"/>
      </w:pPr>
      <w:r>
        <w:t xml:space="preserve"> </w:t>
      </w:r>
    </w:p>
    <w:p w:rsidR="00C17E28" w:rsidRDefault="009C1D31">
      <w:pPr>
        <w:ind w:left="-15" w:right="0"/>
      </w:pPr>
      <w:r>
        <w:t>Дополнительно в текущем году мы планируем дооснастить оборудованием РЦИ, созданные в 2013 году, КАИ-Лазер, РЦИ «Центр Медицинской Науки «</w:t>
      </w:r>
      <w:r>
        <w:t xml:space="preserve">Эйдос» и инжиниринговый центр химических технологий.  </w:t>
      </w:r>
    </w:p>
    <w:p w:rsidR="00C17E28" w:rsidRDefault="009C1D31">
      <w:pPr>
        <w:spacing w:after="134" w:line="259" w:lineRule="auto"/>
        <w:ind w:left="708" w:right="0" w:firstLine="0"/>
        <w:jc w:val="left"/>
      </w:pPr>
      <w:r>
        <w:t xml:space="preserve"> </w:t>
      </w:r>
    </w:p>
    <w:p w:rsidR="00C17E28" w:rsidRDefault="009C1D31">
      <w:pPr>
        <w:spacing w:after="3" w:line="357" w:lineRule="auto"/>
        <w:ind w:left="-15" w:right="0" w:firstLine="708"/>
      </w:pPr>
      <w:r>
        <w:rPr>
          <w:b/>
        </w:rPr>
        <w:t xml:space="preserve">3. Кроме новых объектов продолжат работу  Центр поддержки предпринимательства, Центр координации экспортно-ориентированных малых и средних предприятий, бизнес-инкубаторы. </w:t>
      </w:r>
      <w:r>
        <w:t xml:space="preserve"> </w:t>
      </w:r>
    </w:p>
    <w:p w:rsidR="00C17E28" w:rsidRDefault="009C1D31">
      <w:pPr>
        <w:tabs>
          <w:tab w:val="center" w:pos="1153"/>
          <w:tab w:val="center" w:pos="2336"/>
          <w:tab w:val="center" w:pos="3493"/>
          <w:tab w:val="center" w:pos="4403"/>
          <w:tab w:val="center" w:pos="5317"/>
          <w:tab w:val="center" w:pos="7339"/>
          <w:tab w:val="right" w:pos="10070"/>
        </w:tabs>
        <w:spacing w:after="14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Общий </w:t>
      </w:r>
      <w:r>
        <w:tab/>
        <w:t xml:space="preserve">объем </w:t>
      </w:r>
      <w:r>
        <w:tab/>
        <w:t xml:space="preserve">затрат </w:t>
      </w:r>
      <w:r>
        <w:tab/>
        <w:t xml:space="preserve">на </w:t>
      </w:r>
      <w:r>
        <w:tab/>
        <w:t xml:space="preserve">услуги </w:t>
      </w:r>
      <w:r>
        <w:tab/>
        <w:t xml:space="preserve">предпринимателям </w:t>
      </w:r>
      <w:r>
        <w:tab/>
        <w:t xml:space="preserve">составит  </w:t>
      </w:r>
    </w:p>
    <w:p w:rsidR="00C17E28" w:rsidRDefault="009C1D31">
      <w:pPr>
        <w:spacing w:after="134" w:line="259" w:lineRule="auto"/>
        <w:ind w:left="-15" w:right="0" w:firstLine="0"/>
      </w:pPr>
      <w:r>
        <w:t xml:space="preserve">70,5 млн.руб.  </w:t>
      </w:r>
    </w:p>
    <w:p w:rsidR="00C17E28" w:rsidRDefault="009C1D31">
      <w:pPr>
        <w:ind w:left="-15" w:right="0"/>
      </w:pPr>
      <w:r>
        <w:t xml:space="preserve">Теперь остановимся подробнее на мероприятиях финансовой поддержки предпринимателей, на реализацию которых в 2014 году будет направлено около 30% от общего объема финансирования. </w:t>
      </w:r>
    </w:p>
    <w:p w:rsidR="00C17E28" w:rsidRDefault="009C1D31">
      <w:pPr>
        <w:ind w:left="-15" w:right="0"/>
      </w:pPr>
      <w:r>
        <w:t xml:space="preserve">1. </w:t>
      </w:r>
      <w:r>
        <w:t>Основным мероприятием, как и раньше, остается программа субсидирования авансового платежа по договору лизинга оборудования - «</w:t>
      </w:r>
      <w:r>
        <w:rPr>
          <w:b/>
        </w:rPr>
        <w:t>Лизинг-грант»</w:t>
      </w:r>
      <w:r>
        <w:t xml:space="preserve">.  </w:t>
      </w:r>
    </w:p>
    <w:p w:rsidR="00C17E28" w:rsidRDefault="009C1D31">
      <w:pPr>
        <w:spacing w:after="134" w:line="259" w:lineRule="auto"/>
        <w:ind w:left="708" w:right="0" w:firstLine="0"/>
      </w:pPr>
      <w:r>
        <w:t xml:space="preserve">Общий объем программы на 2014 год - 555 млн.руб.  </w:t>
      </w:r>
    </w:p>
    <w:p w:rsidR="00C17E28" w:rsidRDefault="009C1D31">
      <w:pPr>
        <w:ind w:left="-15" w:right="0"/>
      </w:pPr>
      <w:r>
        <w:t>Мероприятие направлено на поддержку СМСП по приоритетным видам</w:t>
      </w:r>
      <w:r>
        <w:t xml:space="preserve"> экономической деятельности – производство, в том числе химия и нефтехимия (переработка полимеров), сельское хозяйство, пассажиро- и грузоперевозки (в случае приобретения автомобиля, работающего на газомоторном топливе). </w:t>
      </w:r>
    </w:p>
    <w:p w:rsidR="00C17E28" w:rsidRDefault="009C1D31">
      <w:pPr>
        <w:ind w:left="-15" w:right="0"/>
      </w:pPr>
      <w:r>
        <w:t xml:space="preserve">В текущем году в рамках программы </w:t>
      </w:r>
      <w:r>
        <w:t xml:space="preserve">«Лизинг-грант» будут установлены особые условия субсидирования для: </w:t>
      </w:r>
    </w:p>
    <w:p w:rsidR="00C17E28" w:rsidRDefault="009C1D31">
      <w:pPr>
        <w:ind w:left="-15" w:right="0"/>
      </w:pPr>
      <w:r>
        <w:t xml:space="preserve">Предпринимателей, реализующих проекты по созданию семейных животноводческих ферм в рамках программы поддержки по линии Минсельхоза РТ: </w:t>
      </w:r>
    </w:p>
    <w:p w:rsidR="00C17E28" w:rsidRDefault="009C1D31">
      <w:pPr>
        <w:numPr>
          <w:ilvl w:val="0"/>
          <w:numId w:val="8"/>
        </w:numPr>
        <w:spacing w:after="134" w:line="259" w:lineRule="auto"/>
        <w:ind w:right="0" w:hanging="156"/>
      </w:pPr>
      <w:r>
        <w:t xml:space="preserve">до 70% от суммы договора лизинга; </w:t>
      </w:r>
    </w:p>
    <w:p w:rsidR="00C17E28" w:rsidRDefault="009C1D31">
      <w:pPr>
        <w:ind w:left="708" w:right="992" w:firstLine="0"/>
      </w:pPr>
      <w:r>
        <w:t>Резидентов промы</w:t>
      </w:r>
      <w:r>
        <w:t xml:space="preserve">шленных площадок муниципального уровня: - до 50% от суммы договора лизинга,; </w:t>
      </w:r>
    </w:p>
    <w:p w:rsidR="00C17E28" w:rsidRDefault="009C1D31">
      <w:pPr>
        <w:spacing w:after="0" w:line="259" w:lineRule="auto"/>
        <w:ind w:left="1560" w:right="0" w:firstLine="0"/>
        <w:jc w:val="left"/>
      </w:pPr>
      <w:r>
        <w:rPr>
          <w:i/>
        </w:rPr>
        <w:t xml:space="preserve"> </w:t>
      </w:r>
    </w:p>
    <w:p w:rsidR="00C17E28" w:rsidRDefault="009C1D31">
      <w:pPr>
        <w:spacing w:after="13" w:line="248" w:lineRule="auto"/>
        <w:ind w:left="1555" w:right="0" w:hanging="10"/>
      </w:pPr>
      <w:r>
        <w:rPr>
          <w:i/>
        </w:rPr>
        <w:t>Справочно.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 xml:space="preserve">Размер субсидии определен следующим образом: </w:t>
      </w:r>
    </w:p>
    <w:p w:rsidR="00C17E28" w:rsidRDefault="009C1D31">
      <w:pPr>
        <w:numPr>
          <w:ilvl w:val="0"/>
          <w:numId w:val="8"/>
        </w:numPr>
        <w:spacing w:after="13" w:line="248" w:lineRule="auto"/>
        <w:ind w:right="0" w:hanging="156"/>
      </w:pPr>
      <w:r>
        <w:rPr>
          <w:i/>
        </w:rPr>
        <w:t>начинающим (работающим менее 1 года с момента государственной регистрации) - 45 % от суммы договора лизинга, но не боле</w:t>
      </w:r>
      <w:r>
        <w:rPr>
          <w:i/>
        </w:rPr>
        <w:t xml:space="preserve">е 1 млн. рублей;  </w:t>
      </w:r>
    </w:p>
    <w:p w:rsidR="00C17E28" w:rsidRDefault="009C1D31">
      <w:pPr>
        <w:numPr>
          <w:ilvl w:val="0"/>
          <w:numId w:val="8"/>
        </w:numPr>
        <w:spacing w:after="13" w:line="248" w:lineRule="auto"/>
        <w:ind w:right="0" w:hanging="156"/>
      </w:pPr>
      <w:r>
        <w:rPr>
          <w:i/>
        </w:rPr>
        <w:t xml:space="preserve">действующим (работающим более 1 года с момента государственной регистрации) - 30 % от суммы договора лизинга, но не более 3 млн. рублей; </w:t>
      </w:r>
    </w:p>
    <w:p w:rsidR="00C17E28" w:rsidRDefault="009C1D3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17E28" w:rsidRDefault="009C1D31">
      <w:pPr>
        <w:ind w:left="-15" w:right="0"/>
      </w:pPr>
      <w:r>
        <w:t xml:space="preserve">2. Одним из новых направлений финансовой поддержки является </w:t>
      </w:r>
      <w:r>
        <w:rPr>
          <w:b/>
        </w:rPr>
        <w:t xml:space="preserve">субсидирование резидентов </w:t>
      </w:r>
      <w:r>
        <w:rPr>
          <w:b/>
        </w:rPr>
        <w:t xml:space="preserve">промышленных площадок. </w:t>
      </w:r>
    </w:p>
    <w:p w:rsidR="00C17E28" w:rsidRDefault="009C1D31">
      <w:pPr>
        <w:ind w:left="-15" w:right="0"/>
      </w:pPr>
      <w:r>
        <w:t xml:space="preserve">Учитывая, что каждому району и каждому парку выделить бюджетные средства на создание не представляется возможным, Министерством разработаны мероприятия, направленные на поддержку резидентов: </w:t>
      </w:r>
    </w:p>
    <w:p w:rsidR="00C17E28" w:rsidRDefault="009C1D31">
      <w:pPr>
        <w:numPr>
          <w:ilvl w:val="0"/>
          <w:numId w:val="9"/>
        </w:numPr>
        <w:ind w:right="0"/>
      </w:pPr>
      <w:r>
        <w:t>субсидирование части затрат субъектов пр</w:t>
      </w:r>
      <w:r>
        <w:t xml:space="preserve">едпринимательства, связанных с приобретением оборудования. Общий объем 186 млн.руб.  </w:t>
      </w:r>
    </w:p>
    <w:p w:rsidR="00C17E28" w:rsidRDefault="009C1D31">
      <w:pPr>
        <w:spacing w:after="13" w:line="248" w:lineRule="auto"/>
        <w:ind w:left="1555" w:right="0" w:hanging="10"/>
      </w:pPr>
      <w:r>
        <w:rPr>
          <w:i/>
        </w:rPr>
        <w:t>Субсидии предоставляются на возмещение затрат субъектов предпринимательства, связанных с приобретением оборудования.  Предметом договора на приобретение в собственность о</w:t>
      </w:r>
      <w:r>
        <w:rPr>
          <w:i/>
        </w:rPr>
        <w:t xml:space="preserve">борудования могут быть устройства, механизмы, станки, приборы, аппараты, агрегаты, установки, средства и технологии. Размер субсидии – до 50% фактически понесенных затрат, но не более 3 млн. рублей на одного заявителя. </w:t>
      </w:r>
    </w:p>
    <w:p w:rsidR="00C17E28" w:rsidRDefault="009C1D31">
      <w:pPr>
        <w:spacing w:after="0" w:line="259" w:lineRule="auto"/>
        <w:ind w:left="1560" w:right="0" w:firstLine="0"/>
        <w:jc w:val="left"/>
      </w:pPr>
      <w:r>
        <w:rPr>
          <w:i/>
        </w:rPr>
        <w:t xml:space="preserve"> </w:t>
      </w:r>
    </w:p>
    <w:p w:rsidR="00C17E28" w:rsidRDefault="009C1D31">
      <w:pPr>
        <w:numPr>
          <w:ilvl w:val="0"/>
          <w:numId w:val="9"/>
        </w:numPr>
        <w:ind w:right="0"/>
      </w:pPr>
      <w:r>
        <w:t>субсидирование затрат субъектов пр</w:t>
      </w:r>
      <w:r>
        <w:t xml:space="preserve">едпринимательства на уплату процентов по кредитам, привлеченным в российских кредитных организациях. Общий объем 12,8  млн.руб.  </w:t>
      </w:r>
    </w:p>
    <w:p w:rsidR="00C17E28" w:rsidRDefault="009C1D31">
      <w:pPr>
        <w:spacing w:after="13" w:line="248" w:lineRule="auto"/>
        <w:ind w:left="1555" w:right="0" w:hanging="10"/>
      </w:pPr>
      <w:r>
        <w:rPr>
          <w:i/>
        </w:rPr>
        <w:t>Субсидии направляются на субсидирование процентной ставки по кредитам на строительство (реконструкцию) для собственных нужд пр</w:t>
      </w:r>
      <w:r>
        <w:rPr>
          <w:i/>
        </w:rPr>
        <w:t xml:space="preserve">оизводственных зданий, строений, сооружений на территории промплощадки, и (или) приобретение оборудования в целях создания и (или) развития, и (или) модернизации производства товаров. </w:t>
      </w:r>
    </w:p>
    <w:p w:rsidR="00C17E28" w:rsidRDefault="009C1D31">
      <w:pPr>
        <w:spacing w:after="13" w:line="248" w:lineRule="auto"/>
        <w:ind w:left="1555" w:right="0" w:hanging="10"/>
      </w:pPr>
      <w:r>
        <w:rPr>
          <w:i/>
        </w:rPr>
        <w:t xml:space="preserve">Субсидии предоставляются субъектам предпринимательства из расчета </w:t>
      </w:r>
      <w:r>
        <w:rPr>
          <w:b/>
          <w:i/>
        </w:rPr>
        <w:t>не бо</w:t>
      </w:r>
      <w:r>
        <w:rPr>
          <w:b/>
          <w:i/>
        </w:rPr>
        <w:t>лее 2/3 ставки рефинансирования</w:t>
      </w:r>
      <w:r>
        <w:rPr>
          <w:i/>
        </w:rPr>
        <w:t xml:space="preserve"> Центрального банка Российской Федерации от фактически произведенных субъектом предпринимательства затрат на уплату процентов по кредитам в размере не более </w:t>
      </w:r>
      <w:r>
        <w:rPr>
          <w:b/>
          <w:i/>
        </w:rPr>
        <w:t>3 (трех) млн. рублей</w:t>
      </w:r>
      <w:r>
        <w:rPr>
          <w:i/>
        </w:rPr>
        <w:t xml:space="preserve"> на одного получателя поддержки.  </w:t>
      </w:r>
    </w:p>
    <w:p w:rsidR="00C17E28" w:rsidRDefault="009C1D31">
      <w:pPr>
        <w:spacing w:after="134" w:line="259" w:lineRule="auto"/>
        <w:ind w:left="708" w:right="0" w:firstLine="0"/>
        <w:jc w:val="left"/>
      </w:pPr>
      <w:r>
        <w:t xml:space="preserve"> </w:t>
      </w:r>
    </w:p>
    <w:p w:rsidR="00C17E28" w:rsidRDefault="009C1D31">
      <w:pPr>
        <w:ind w:left="-15" w:right="0"/>
      </w:pPr>
      <w:r>
        <w:t>Мы предпола</w:t>
      </w:r>
      <w:r>
        <w:t xml:space="preserve">гаем, что эти меры поддержки должны повысить привлекательность промышленных площадок для предпринимателей и стать дополнительным стимулом для их дальнейшего развития в муниципальных образованиях республики. </w:t>
      </w:r>
    </w:p>
    <w:p w:rsidR="00C17E28" w:rsidRDefault="009C1D3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17E28" w:rsidRDefault="009C1D31">
      <w:pPr>
        <w:ind w:left="-15" w:right="0"/>
      </w:pPr>
      <w:r>
        <w:t xml:space="preserve">С целью повышения доступности кредитных ресурсов в секторе малого и среднего предпринимательства Республики Татарстан в текущем году: </w:t>
      </w:r>
    </w:p>
    <w:p w:rsidR="00C17E28" w:rsidRDefault="009C1D31">
      <w:pPr>
        <w:tabs>
          <w:tab w:val="center" w:pos="1441"/>
          <w:tab w:val="center" w:pos="3569"/>
          <w:tab w:val="center" w:pos="5921"/>
          <w:tab w:val="center" w:pos="7662"/>
          <w:tab w:val="right" w:pos="10070"/>
        </w:tabs>
        <w:spacing w:after="14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Увеличена </w:t>
      </w:r>
      <w:r>
        <w:rPr>
          <w:b/>
        </w:rPr>
        <w:tab/>
        <w:t xml:space="preserve">капитализация </w:t>
      </w:r>
      <w:r>
        <w:rPr>
          <w:b/>
        </w:rPr>
        <w:tab/>
        <w:t xml:space="preserve">Гарантийного </w:t>
      </w:r>
      <w:r>
        <w:rPr>
          <w:b/>
        </w:rPr>
        <w:tab/>
        <w:t xml:space="preserve">Фонда </w:t>
      </w:r>
      <w:r>
        <w:rPr>
          <w:b/>
        </w:rPr>
        <w:tab/>
        <w:t xml:space="preserve">Республики </w:t>
      </w:r>
    </w:p>
    <w:p w:rsidR="00C17E28" w:rsidRDefault="009C1D31">
      <w:pPr>
        <w:spacing w:after="134" w:line="259" w:lineRule="auto"/>
        <w:ind w:left="-5" w:right="0" w:hanging="10"/>
      </w:pPr>
      <w:r>
        <w:rPr>
          <w:b/>
        </w:rPr>
        <w:t xml:space="preserve">Татарстан. </w:t>
      </w:r>
    </w:p>
    <w:p w:rsidR="00C17E28" w:rsidRDefault="009C1D31">
      <w:pPr>
        <w:ind w:left="-15" w:right="0"/>
      </w:pPr>
      <w:r>
        <w:t xml:space="preserve">Предметом деятельности Фонда является предоставление поручительств по обязательствам субъектов малого и среднего предпринимательства по заключаемым ими кредитным договорам. </w:t>
      </w:r>
    </w:p>
    <w:p w:rsidR="00C17E28" w:rsidRDefault="009C1D31">
      <w:pPr>
        <w:spacing w:after="132" w:line="259" w:lineRule="auto"/>
        <w:ind w:left="708" w:right="0" w:firstLine="0"/>
      </w:pPr>
      <w:r>
        <w:t xml:space="preserve">Общий объем «докапитализации» 166 млн. руб. </w:t>
      </w:r>
    </w:p>
    <w:p w:rsidR="00C17E28" w:rsidRDefault="009C1D3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17E28" w:rsidRDefault="009C1D31">
      <w:pPr>
        <w:spacing w:after="13" w:line="248" w:lineRule="auto"/>
        <w:ind w:left="1555" w:right="0" w:hanging="10"/>
      </w:pPr>
      <w:r>
        <w:rPr>
          <w:i/>
        </w:rPr>
        <w:t>Условия предоставления поручительст</w:t>
      </w:r>
      <w:r>
        <w:rPr>
          <w:i/>
        </w:rPr>
        <w:t xml:space="preserve">в: </w:t>
      </w:r>
    </w:p>
    <w:p w:rsidR="00C17E28" w:rsidRDefault="009C1D31">
      <w:pPr>
        <w:numPr>
          <w:ilvl w:val="0"/>
          <w:numId w:val="10"/>
        </w:numPr>
        <w:spacing w:after="13" w:line="248" w:lineRule="auto"/>
        <w:ind w:right="0" w:hanging="564"/>
      </w:pPr>
      <w:r>
        <w:rPr>
          <w:i/>
        </w:rPr>
        <w:t xml:space="preserve">Сумма поручительства - до 15 млн. рублей; </w:t>
      </w:r>
    </w:p>
    <w:p w:rsidR="00C17E28" w:rsidRDefault="009C1D31">
      <w:pPr>
        <w:numPr>
          <w:ilvl w:val="0"/>
          <w:numId w:val="10"/>
        </w:numPr>
        <w:spacing w:after="13" w:line="248" w:lineRule="auto"/>
        <w:ind w:right="0" w:hanging="564"/>
      </w:pPr>
      <w:r>
        <w:rPr>
          <w:i/>
        </w:rPr>
        <w:t xml:space="preserve">Сумма кредита - не менее 1,0 млн. рублей; </w:t>
      </w:r>
    </w:p>
    <w:p w:rsidR="00C17E28" w:rsidRDefault="009C1D31">
      <w:pPr>
        <w:numPr>
          <w:ilvl w:val="0"/>
          <w:numId w:val="10"/>
        </w:numPr>
        <w:spacing w:after="13" w:line="248" w:lineRule="auto"/>
        <w:ind w:right="0" w:hanging="564"/>
      </w:pPr>
      <w:r>
        <w:rPr>
          <w:i/>
        </w:rPr>
        <w:t xml:space="preserve">Срок кредита - </w:t>
      </w:r>
      <w:r>
        <w:rPr>
          <w:i/>
        </w:rPr>
        <w:tab/>
        <w:t xml:space="preserve">не менее 1 года и не более 7 лет; </w:t>
      </w:r>
    </w:p>
    <w:p w:rsidR="00C17E28" w:rsidRDefault="009C1D31">
      <w:pPr>
        <w:numPr>
          <w:ilvl w:val="0"/>
          <w:numId w:val="10"/>
        </w:numPr>
        <w:spacing w:after="38" w:line="248" w:lineRule="auto"/>
        <w:ind w:right="0" w:hanging="564"/>
      </w:pPr>
      <w:r>
        <w:rPr>
          <w:i/>
        </w:rPr>
        <w:t xml:space="preserve">Доля поручительства - не более 50% от суммы кредита, банковской гарантии; </w:t>
      </w:r>
    </w:p>
    <w:p w:rsidR="00C17E28" w:rsidRDefault="009C1D31">
      <w:pPr>
        <w:numPr>
          <w:ilvl w:val="0"/>
          <w:numId w:val="10"/>
        </w:numPr>
        <w:spacing w:after="41" w:line="248" w:lineRule="auto"/>
        <w:ind w:right="0" w:hanging="564"/>
      </w:pPr>
      <w:r>
        <w:rPr>
          <w:i/>
        </w:rPr>
        <w:t xml:space="preserve">Сумма </w:t>
      </w:r>
      <w:r>
        <w:rPr>
          <w:i/>
        </w:rPr>
        <w:tab/>
        <w:t xml:space="preserve">вознаграждения </w:t>
      </w:r>
      <w:r>
        <w:rPr>
          <w:i/>
        </w:rPr>
        <w:tab/>
        <w:t xml:space="preserve">- </w:t>
      </w:r>
      <w:r>
        <w:rPr>
          <w:i/>
        </w:rPr>
        <w:tab/>
      </w:r>
      <w:r>
        <w:rPr>
          <w:i/>
        </w:rPr>
        <w:t xml:space="preserve">1,5% </w:t>
      </w:r>
      <w:r>
        <w:rPr>
          <w:i/>
        </w:rPr>
        <w:tab/>
        <w:t xml:space="preserve">годовых </w:t>
      </w:r>
      <w:r>
        <w:rPr>
          <w:i/>
        </w:rPr>
        <w:tab/>
        <w:t xml:space="preserve">от </w:t>
      </w:r>
      <w:r>
        <w:rPr>
          <w:i/>
        </w:rPr>
        <w:tab/>
        <w:t xml:space="preserve">суммы поручительства; </w:t>
      </w:r>
    </w:p>
    <w:p w:rsidR="00C17E28" w:rsidRDefault="009C1D31">
      <w:pPr>
        <w:numPr>
          <w:ilvl w:val="0"/>
          <w:numId w:val="10"/>
        </w:numPr>
        <w:spacing w:after="13" w:line="248" w:lineRule="auto"/>
        <w:ind w:right="0" w:hanging="564"/>
      </w:pPr>
      <w:r>
        <w:rPr>
          <w:i/>
        </w:rPr>
        <w:t xml:space="preserve">Сроки рассмотрения 3-10 рабочих дней. </w:t>
      </w:r>
    </w:p>
    <w:p w:rsidR="00C17E28" w:rsidRDefault="009C1D31">
      <w:pPr>
        <w:spacing w:after="0" w:line="259" w:lineRule="auto"/>
        <w:ind w:left="1560" w:right="0" w:firstLine="0"/>
        <w:jc w:val="left"/>
      </w:pPr>
      <w:r>
        <w:t xml:space="preserve"> </w:t>
      </w:r>
    </w:p>
    <w:p w:rsidR="00C17E28" w:rsidRDefault="009C1D31">
      <w:pPr>
        <w:spacing w:after="0" w:line="259" w:lineRule="auto"/>
        <w:ind w:left="1560" w:right="0" w:firstLine="0"/>
        <w:jc w:val="left"/>
      </w:pPr>
      <w:r>
        <w:rPr>
          <w:i/>
          <w:u w:val="single" w:color="000000"/>
        </w:rPr>
        <w:t>С начала деятельности фонда:</w:t>
      </w:r>
      <w:r>
        <w:rPr>
          <w:i/>
        </w:rPr>
        <w:t xml:space="preserve"> </w:t>
      </w:r>
    </w:p>
    <w:p w:rsidR="00C17E28" w:rsidRDefault="009C1D31">
      <w:pPr>
        <w:spacing w:after="13" w:line="248" w:lineRule="auto"/>
        <w:ind w:left="1555" w:right="0" w:hanging="10"/>
      </w:pPr>
      <w:r>
        <w:rPr>
          <w:i/>
        </w:rPr>
        <w:t xml:space="preserve"> Общая сумма выданных поручительств - 770 млн.рублей;  </w:t>
      </w:r>
    </w:p>
    <w:p w:rsidR="00C17E28" w:rsidRDefault="009C1D31">
      <w:pPr>
        <w:spacing w:after="13" w:line="248" w:lineRule="auto"/>
        <w:ind w:left="1555" w:right="0" w:hanging="10"/>
      </w:pPr>
      <w:r>
        <w:rPr>
          <w:i/>
        </w:rPr>
        <w:t xml:space="preserve">Капитализация (на 01.07.2014) – 530 млн.рублей;  </w:t>
      </w:r>
    </w:p>
    <w:p w:rsidR="00C17E28" w:rsidRDefault="009C1D31">
      <w:pPr>
        <w:spacing w:after="13" w:line="248" w:lineRule="auto"/>
        <w:ind w:left="1555" w:right="0" w:hanging="10"/>
      </w:pPr>
      <w:r>
        <w:rPr>
          <w:i/>
        </w:rPr>
        <w:t>Общая сумма кредитов, выданных под по</w:t>
      </w:r>
      <w:r>
        <w:rPr>
          <w:i/>
        </w:rPr>
        <w:t xml:space="preserve">ручительства ГФ РТ  - </w:t>
      </w:r>
    </w:p>
    <w:p w:rsidR="00C17E28" w:rsidRDefault="009C1D31">
      <w:pPr>
        <w:spacing w:after="13" w:line="248" w:lineRule="auto"/>
        <w:ind w:left="1555" w:right="0" w:hanging="10"/>
      </w:pPr>
      <w:r>
        <w:rPr>
          <w:i/>
        </w:rPr>
        <w:t xml:space="preserve">1769,8 млн.рублей;  </w:t>
      </w:r>
    </w:p>
    <w:p w:rsidR="00C17E28" w:rsidRDefault="009C1D31">
      <w:pPr>
        <w:spacing w:after="13" w:line="248" w:lineRule="auto"/>
        <w:ind w:left="1555" w:right="0" w:hanging="10"/>
      </w:pPr>
      <w:r>
        <w:rPr>
          <w:i/>
        </w:rPr>
        <w:t xml:space="preserve">Количество выданных поручительств  – 448.  </w:t>
      </w:r>
    </w:p>
    <w:p w:rsidR="00C17E28" w:rsidRDefault="009C1D3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17E28" w:rsidRDefault="009C1D31">
      <w:pPr>
        <w:spacing w:after="3" w:line="356" w:lineRule="auto"/>
        <w:ind w:left="-15" w:right="0" w:firstLine="708"/>
      </w:pPr>
      <w:r>
        <w:t xml:space="preserve">Создан </w:t>
      </w:r>
      <w:r>
        <w:rPr>
          <w:b/>
        </w:rPr>
        <w:t>Фонд финансовой поддержки субъектов малого и среднего предпринимательства</w:t>
      </w:r>
      <w:r>
        <w:t xml:space="preserve">, основной функцией которого является </w:t>
      </w:r>
    </w:p>
    <w:p w:rsidR="00C17E28" w:rsidRDefault="009C1D31">
      <w:pPr>
        <w:ind w:left="-15" w:right="0" w:firstLine="0"/>
      </w:pPr>
      <w:r>
        <w:t>предоставление недорогих займов до 1 млн. рубле</w:t>
      </w:r>
      <w:r>
        <w:t>й и сроком до 3 по ставке до  10% годовых предпринимателям, осуществляющим деятельность в в реальном секторе экономики Татарстана. В дальнейшем мы планируем увеличивать капитализацию данного фонда. При этом при определении % за пользование займом будут опр</w:t>
      </w:r>
      <w:r>
        <w:t>еделены отраслевые и территориальные приоритеты.</w:t>
      </w:r>
      <w:r>
        <w:rPr>
          <w:color w:val="FF0000"/>
        </w:rPr>
        <w:t xml:space="preserve">  </w:t>
      </w:r>
    </w:p>
    <w:p w:rsidR="00C17E28" w:rsidRDefault="009C1D31">
      <w:pPr>
        <w:spacing w:line="259" w:lineRule="auto"/>
        <w:ind w:left="708" w:right="0" w:firstLine="0"/>
      </w:pPr>
      <w:r>
        <w:t xml:space="preserve">Капитализация фонда в 2014 году – около 15 млн.руб. </w:t>
      </w:r>
    </w:p>
    <w:p w:rsidR="00C17E28" w:rsidRDefault="009C1D31">
      <w:pPr>
        <w:spacing w:after="199"/>
        <w:ind w:left="-15" w:right="0"/>
      </w:pPr>
      <w:r>
        <w:t xml:space="preserve">Кроме мероприятий прямой финансовой </w:t>
      </w:r>
      <w:r>
        <w:t xml:space="preserve">а также инфраструктурной, или имущественной, поддержки предпринимателей, я бы хотел буквально несколько слов сказать о работе органов власти по формированию благоприятного предпринимательского климата республики. </w:t>
      </w:r>
    </w:p>
    <w:p w:rsidR="00C17E28" w:rsidRDefault="009C1D31">
      <w:pPr>
        <w:ind w:left="-15" w:right="0"/>
      </w:pPr>
      <w:r>
        <w:t xml:space="preserve">Как вы знаете, в марте текущего года, при </w:t>
      </w:r>
      <w:r>
        <w:t>участии Президента Республики Татарстан Р.Н.Минниханова состоялось заседание Экономического совета при Кабинете Министров Республики Татарстан, посвященное вопросам формирования благоприятного предпринимательского климата в Республике Татарстан, на котором</w:t>
      </w:r>
      <w:r>
        <w:t xml:space="preserve"> мы подробно рассматривали системные проблемы развития предпринимательства в республике.  </w:t>
      </w:r>
    </w:p>
    <w:p w:rsidR="00C17E28" w:rsidRDefault="009C1D31">
      <w:pPr>
        <w:spacing w:after="199"/>
        <w:ind w:left="-15" w:right="0"/>
      </w:pPr>
      <w:r>
        <w:t>Результатом заседания Экономического совета стал уникальный для Татарстана документ - План мероприятий («дорожная карта») развития малого и среднего предпринимательс</w:t>
      </w:r>
      <w:r>
        <w:t xml:space="preserve">тва в Республике Татарстан на 20142016 годы. Уникальность документа состоит в том, что разработан он самими предпринимателями в лице общественных организаций, представляющих их интересы, утвержден высшим исполнительным органом власти – Кабинетом Министров </w:t>
      </w:r>
      <w:r>
        <w:t xml:space="preserve">Республики Татарстан, и является обязательным для исполнения всеми органами власти, ответственными за реализацию включенных в план мероприятий. </w:t>
      </w:r>
    </w:p>
    <w:p w:rsidR="00C17E28" w:rsidRDefault="009C1D31">
      <w:pPr>
        <w:ind w:left="-15" w:right="0"/>
      </w:pPr>
      <w:r>
        <w:t>Президентом Республики Татарстан была поставлена задача организовать эффективную систему мониторинга реализации</w:t>
      </w:r>
      <w:r>
        <w:t xml:space="preserve"> утвержденной «Дорожной карты» через мониторинг изменения условий ведения предпринимательской деятельности в Татарстане.  </w:t>
      </w:r>
    </w:p>
    <w:p w:rsidR="00C17E28" w:rsidRDefault="009C1D31">
      <w:pPr>
        <w:ind w:left="-15" w:right="0"/>
      </w:pPr>
      <w:r>
        <w:t>В соответствии с данным поручением в июне текущего года мы запустили интерактивную систему сбора и обработки проблем и вопросов, связ</w:t>
      </w:r>
      <w:r>
        <w:t xml:space="preserve">анных с началом и ведением предпринимательской деятельности на территории нашей республики. Это первая тематическая система многоканальной связи предпринимателей с органами государственной власти.  </w:t>
      </w:r>
    </w:p>
    <w:p w:rsidR="00C17E28" w:rsidRDefault="009C1D31">
      <w:pPr>
        <w:spacing w:after="35"/>
        <w:ind w:left="-15" w:right="0"/>
      </w:pPr>
      <w:r>
        <w:t>Система сбора и обработки информации предполагает 4 канал</w:t>
      </w:r>
      <w:r>
        <w:t xml:space="preserve">а связи с предпринимателем, из которых 3 канала связи с предпринимателями уже функционируют: </w:t>
      </w:r>
    </w:p>
    <w:p w:rsidR="00C17E28" w:rsidRDefault="009C1D31">
      <w:pPr>
        <w:numPr>
          <w:ilvl w:val="0"/>
          <w:numId w:val="11"/>
        </w:numPr>
        <w:spacing w:after="32"/>
        <w:ind w:right="0" w:hanging="360"/>
      </w:pPr>
      <w:r>
        <w:t xml:space="preserve">Горячая линия 524 90 90 плюс представительства ЦПП на местах (Горячая линия работает в штатном режиме. Ежедневно по ней оказывается до 200 консультаций.) </w:t>
      </w:r>
    </w:p>
    <w:p w:rsidR="00C17E28" w:rsidRDefault="009C1D31">
      <w:pPr>
        <w:numPr>
          <w:ilvl w:val="0"/>
          <w:numId w:val="11"/>
        </w:numPr>
        <w:spacing w:after="34"/>
        <w:ind w:right="0" w:hanging="360"/>
      </w:pPr>
      <w:r>
        <w:t>Система</w:t>
      </w:r>
      <w:r>
        <w:t xml:space="preserve"> «Народный контроль» (По системе «Народный контроль» в Министерство также поступают заявки. Поток пока не большой, но мы отвечаем на все вопросы.). </w:t>
      </w:r>
    </w:p>
    <w:p w:rsidR="00C17E28" w:rsidRDefault="009C1D31">
      <w:pPr>
        <w:numPr>
          <w:ilvl w:val="0"/>
          <w:numId w:val="11"/>
        </w:numPr>
        <w:spacing w:after="134" w:line="259" w:lineRule="auto"/>
        <w:ind w:right="0" w:hanging="360"/>
      </w:pPr>
      <w:r>
        <w:t xml:space="preserve">Опрос на сайте МЭ РТ. </w:t>
      </w:r>
    </w:p>
    <w:p w:rsidR="00C17E28" w:rsidRDefault="009C1D31">
      <w:pPr>
        <w:ind w:left="-15" w:right="0"/>
      </w:pPr>
      <w:r>
        <w:t>Четвертый канал связи – «контакт-центр» («call-центр») в настоящее время находится в</w:t>
      </w:r>
      <w:r>
        <w:t xml:space="preserve"> разработке. Предполагаем, что в третьем квартале текущего года данный канал связи также будет функционировать в тестовом режиме. </w:t>
      </w:r>
    </w:p>
    <w:p w:rsidR="00C17E28" w:rsidRDefault="009C1D31">
      <w:pPr>
        <w:spacing w:after="197"/>
        <w:ind w:left="-15" w:right="0"/>
      </w:pPr>
      <w:r>
        <w:t>В настоящее время нам удалось собрать порядка 600 обращений предпринимателей. Вся информация накапливается и систематизируетс</w:t>
      </w:r>
      <w:r>
        <w:t xml:space="preserve">я. По итогам работы мы также планируем провести расширенное совещание с участием руководства республики.  </w:t>
      </w:r>
    </w:p>
    <w:p w:rsidR="00C17E28" w:rsidRDefault="009C1D31">
      <w:pPr>
        <w:spacing w:after="196"/>
        <w:ind w:left="-15" w:right="0"/>
      </w:pPr>
      <w:r>
        <w:t xml:space="preserve">Сегодня, пользуясь случаем, я хотел бы через СМИ обратить внимание предпринимателей на реальную возможность выявления и решения проблем, связанных с </w:t>
      </w:r>
      <w:r>
        <w:t xml:space="preserve">ведением предпринимательской деятельности на местах, при непосредственной поддержке руководства республики.  </w:t>
      </w:r>
    </w:p>
    <w:p w:rsidR="00C17E28" w:rsidRDefault="009C1D31">
      <w:pPr>
        <w:spacing w:after="195"/>
        <w:ind w:left="-15" w:right="0"/>
      </w:pPr>
      <w:r>
        <w:t xml:space="preserve">Подводя итоги своего выступления </w:t>
      </w:r>
      <w:r>
        <w:t xml:space="preserve">отмечу, что Министерство экономики Республики Татарстан всегда открыто для конструктивных предложений направленных на формирование благоприятной инвестиционной среды и формирование комфортных условий для ведения бизнеса. </w:t>
      </w:r>
    </w:p>
    <w:p w:rsidR="00C17E28" w:rsidRDefault="009C1D3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17E28" w:rsidRDefault="009C1D31">
      <w:pPr>
        <w:spacing w:after="3" w:line="259" w:lineRule="auto"/>
        <w:ind w:left="718" w:right="0" w:hanging="10"/>
      </w:pPr>
      <w:r>
        <w:rPr>
          <w:b/>
        </w:rPr>
        <w:t xml:space="preserve">Спасибо за внимание! </w:t>
      </w:r>
    </w:p>
    <w:p w:rsidR="00C17E28" w:rsidRDefault="009C1D31">
      <w:pPr>
        <w:spacing w:after="3" w:line="259" w:lineRule="auto"/>
        <w:ind w:left="718" w:right="0" w:hanging="10"/>
      </w:pPr>
      <w:r>
        <w:rPr>
          <w:b/>
        </w:rPr>
        <w:t xml:space="preserve">Готов ответить на ваши вопросы. </w:t>
      </w:r>
    </w:p>
    <w:p w:rsidR="00C17E28" w:rsidRDefault="009C1D3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17E28" w:rsidRDefault="009C1D3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17E28">
      <w:headerReference w:type="even" r:id="rId7"/>
      <w:headerReference w:type="default" r:id="rId8"/>
      <w:headerReference w:type="first" r:id="rId9"/>
      <w:pgSz w:w="11906" w:h="16838"/>
      <w:pgMar w:top="1178" w:right="843" w:bottom="1190" w:left="9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1D31">
      <w:pPr>
        <w:spacing w:after="0" w:line="240" w:lineRule="auto"/>
      </w:pPr>
      <w:r>
        <w:separator/>
      </w:r>
    </w:p>
  </w:endnote>
  <w:endnote w:type="continuationSeparator" w:id="0">
    <w:p w:rsidR="00000000" w:rsidRDefault="009C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1D31">
      <w:pPr>
        <w:spacing w:after="0" w:line="240" w:lineRule="auto"/>
      </w:pPr>
      <w:r>
        <w:separator/>
      </w:r>
    </w:p>
  </w:footnote>
  <w:footnote w:type="continuationSeparator" w:id="0">
    <w:p w:rsidR="00000000" w:rsidRDefault="009C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28" w:rsidRDefault="009C1D31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17E28" w:rsidRDefault="009C1D3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28" w:rsidRDefault="009C1D31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17E28" w:rsidRDefault="009C1D3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28" w:rsidRDefault="00C17E2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C28"/>
    <w:multiLevelType w:val="hybridMultilevel"/>
    <w:tmpl w:val="B0867B4A"/>
    <w:lvl w:ilvl="0" w:tplc="3388370E">
      <w:start w:val="1"/>
      <w:numFmt w:val="bullet"/>
      <w:lvlText w:val=""/>
      <w:lvlJc w:val="left"/>
      <w:pPr>
        <w:ind w:left="2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B8D368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C6770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76B30E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E8CAA0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9A586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0C712">
      <w:start w:val="1"/>
      <w:numFmt w:val="bullet"/>
      <w:lvlText w:val="•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2ED44">
      <w:start w:val="1"/>
      <w:numFmt w:val="bullet"/>
      <w:lvlText w:val="o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CDD5A">
      <w:start w:val="1"/>
      <w:numFmt w:val="bullet"/>
      <w:lvlText w:val="▪"/>
      <w:lvlJc w:val="left"/>
      <w:pPr>
        <w:ind w:left="7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848E1"/>
    <w:multiLevelType w:val="hybridMultilevel"/>
    <w:tmpl w:val="56EAAC3E"/>
    <w:lvl w:ilvl="0" w:tplc="4DB44770">
      <w:start w:val="1"/>
      <w:numFmt w:val="bullet"/>
      <w:lvlText w:val=""/>
      <w:lvlJc w:val="left"/>
      <w:pPr>
        <w:ind w:left="2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30B8F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AE0CCC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5423BE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ABF0A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E0990E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86454">
      <w:start w:val="1"/>
      <w:numFmt w:val="bullet"/>
      <w:lvlText w:val="•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92A0FA">
      <w:start w:val="1"/>
      <w:numFmt w:val="bullet"/>
      <w:lvlText w:val="o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78F1F4">
      <w:start w:val="1"/>
      <w:numFmt w:val="bullet"/>
      <w:lvlText w:val="▪"/>
      <w:lvlJc w:val="left"/>
      <w:pPr>
        <w:ind w:left="7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B46D8"/>
    <w:multiLevelType w:val="hybridMultilevel"/>
    <w:tmpl w:val="0F5445C0"/>
    <w:lvl w:ilvl="0" w:tplc="50B23A22">
      <w:start w:val="4"/>
      <w:numFmt w:val="decimal"/>
      <w:lvlText w:val="%1."/>
      <w:lvlJc w:val="left"/>
      <w:pPr>
        <w:ind w:left="222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D203EA">
      <w:start w:val="1"/>
      <w:numFmt w:val="lowerLetter"/>
      <w:lvlText w:val="%2"/>
      <w:lvlJc w:val="left"/>
      <w:pPr>
        <w:ind w:left="26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694DE">
      <w:start w:val="1"/>
      <w:numFmt w:val="lowerRoman"/>
      <w:lvlText w:val="%3"/>
      <w:lvlJc w:val="left"/>
      <w:pPr>
        <w:ind w:left="33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C8F770">
      <w:start w:val="1"/>
      <w:numFmt w:val="decimal"/>
      <w:lvlText w:val="%4"/>
      <w:lvlJc w:val="left"/>
      <w:pPr>
        <w:ind w:left="4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ACF41E">
      <w:start w:val="1"/>
      <w:numFmt w:val="lowerLetter"/>
      <w:lvlText w:val="%5"/>
      <w:lvlJc w:val="left"/>
      <w:pPr>
        <w:ind w:left="4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02EF74">
      <w:start w:val="1"/>
      <w:numFmt w:val="lowerRoman"/>
      <w:lvlText w:val="%6"/>
      <w:lvlJc w:val="left"/>
      <w:pPr>
        <w:ind w:left="5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CC50A">
      <w:start w:val="1"/>
      <w:numFmt w:val="decimal"/>
      <w:lvlText w:val="%7"/>
      <w:lvlJc w:val="left"/>
      <w:pPr>
        <w:ind w:left="6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966550">
      <w:start w:val="1"/>
      <w:numFmt w:val="lowerLetter"/>
      <w:lvlText w:val="%8"/>
      <w:lvlJc w:val="left"/>
      <w:pPr>
        <w:ind w:left="6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FDE0">
      <w:start w:val="1"/>
      <w:numFmt w:val="lowerRoman"/>
      <w:lvlText w:val="%9"/>
      <w:lvlJc w:val="left"/>
      <w:pPr>
        <w:ind w:left="7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A4713E"/>
    <w:multiLevelType w:val="hybridMultilevel"/>
    <w:tmpl w:val="46B87154"/>
    <w:lvl w:ilvl="0" w:tplc="FDA2D4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091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4B8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FAAC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09E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2A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2ADB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E7B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F2359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AD4B7B"/>
    <w:multiLevelType w:val="hybridMultilevel"/>
    <w:tmpl w:val="078CBEE4"/>
    <w:lvl w:ilvl="0" w:tplc="E1F4CE50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3A8CD8">
      <w:start w:val="1"/>
      <w:numFmt w:val="decimal"/>
      <w:lvlText w:val="%2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9EC494">
      <w:start w:val="1"/>
      <w:numFmt w:val="lowerRoman"/>
      <w:lvlText w:val="%3"/>
      <w:lvlJc w:val="left"/>
      <w:pPr>
        <w:ind w:left="18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20BFB2">
      <w:start w:val="1"/>
      <w:numFmt w:val="decimal"/>
      <w:lvlText w:val="%4"/>
      <w:lvlJc w:val="left"/>
      <w:pPr>
        <w:ind w:left="25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821088">
      <w:start w:val="1"/>
      <w:numFmt w:val="lowerLetter"/>
      <w:lvlText w:val="%5"/>
      <w:lvlJc w:val="left"/>
      <w:pPr>
        <w:ind w:left="33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E185C">
      <w:start w:val="1"/>
      <w:numFmt w:val="lowerRoman"/>
      <w:lvlText w:val="%6"/>
      <w:lvlJc w:val="left"/>
      <w:pPr>
        <w:ind w:left="40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6C86A0">
      <w:start w:val="1"/>
      <w:numFmt w:val="decimal"/>
      <w:lvlText w:val="%7"/>
      <w:lvlJc w:val="left"/>
      <w:pPr>
        <w:ind w:left="47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6CA6E4">
      <w:start w:val="1"/>
      <w:numFmt w:val="lowerLetter"/>
      <w:lvlText w:val="%8"/>
      <w:lvlJc w:val="left"/>
      <w:pPr>
        <w:ind w:left="54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3224BC">
      <w:start w:val="1"/>
      <w:numFmt w:val="lowerRoman"/>
      <w:lvlText w:val="%9"/>
      <w:lvlJc w:val="left"/>
      <w:pPr>
        <w:ind w:left="61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A50779"/>
    <w:multiLevelType w:val="hybridMultilevel"/>
    <w:tmpl w:val="D2B87D12"/>
    <w:lvl w:ilvl="0" w:tplc="7C0660FA">
      <w:start w:val="1"/>
      <w:numFmt w:val="decimal"/>
      <w:lvlText w:val="%1."/>
      <w:lvlJc w:val="left"/>
      <w:pPr>
        <w:ind w:left="1555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23896">
      <w:start w:val="1"/>
      <w:numFmt w:val="lowerLetter"/>
      <w:lvlText w:val="%2"/>
      <w:lvlJc w:val="left"/>
      <w:pPr>
        <w:ind w:left="26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01E3E">
      <w:start w:val="1"/>
      <w:numFmt w:val="lowerRoman"/>
      <w:lvlText w:val="%3"/>
      <w:lvlJc w:val="left"/>
      <w:pPr>
        <w:ind w:left="33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E8764">
      <w:start w:val="1"/>
      <w:numFmt w:val="decimal"/>
      <w:lvlText w:val="%4"/>
      <w:lvlJc w:val="left"/>
      <w:pPr>
        <w:ind w:left="4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505154">
      <w:start w:val="1"/>
      <w:numFmt w:val="lowerLetter"/>
      <w:lvlText w:val="%5"/>
      <w:lvlJc w:val="left"/>
      <w:pPr>
        <w:ind w:left="4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0A09E6">
      <w:start w:val="1"/>
      <w:numFmt w:val="lowerRoman"/>
      <w:lvlText w:val="%6"/>
      <w:lvlJc w:val="left"/>
      <w:pPr>
        <w:ind w:left="5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CDF68">
      <w:start w:val="1"/>
      <w:numFmt w:val="decimal"/>
      <w:lvlText w:val="%7"/>
      <w:lvlJc w:val="left"/>
      <w:pPr>
        <w:ind w:left="6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205654">
      <w:start w:val="1"/>
      <w:numFmt w:val="lowerLetter"/>
      <w:lvlText w:val="%8"/>
      <w:lvlJc w:val="left"/>
      <w:pPr>
        <w:ind w:left="6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0B60A">
      <w:start w:val="1"/>
      <w:numFmt w:val="lowerRoman"/>
      <w:lvlText w:val="%9"/>
      <w:lvlJc w:val="left"/>
      <w:pPr>
        <w:ind w:left="7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6852F6"/>
    <w:multiLevelType w:val="hybridMultilevel"/>
    <w:tmpl w:val="B73C033E"/>
    <w:lvl w:ilvl="0" w:tplc="9CF85A9C">
      <w:start w:val="1"/>
      <w:numFmt w:val="bullet"/>
      <w:lvlText w:val="-"/>
      <w:lvlJc w:val="left"/>
      <w:pPr>
        <w:ind w:left="17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B2AB06">
      <w:start w:val="1"/>
      <w:numFmt w:val="bullet"/>
      <w:lvlText w:val="o"/>
      <w:lvlJc w:val="left"/>
      <w:pPr>
        <w:ind w:left="23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44F620">
      <w:start w:val="1"/>
      <w:numFmt w:val="bullet"/>
      <w:lvlText w:val="▪"/>
      <w:lvlJc w:val="left"/>
      <w:pPr>
        <w:ind w:left="30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D4701C">
      <w:start w:val="1"/>
      <w:numFmt w:val="bullet"/>
      <w:lvlText w:val="•"/>
      <w:lvlJc w:val="left"/>
      <w:pPr>
        <w:ind w:left="37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A87E6">
      <w:start w:val="1"/>
      <w:numFmt w:val="bullet"/>
      <w:lvlText w:val="o"/>
      <w:lvlJc w:val="left"/>
      <w:pPr>
        <w:ind w:left="45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28FEB8">
      <w:start w:val="1"/>
      <w:numFmt w:val="bullet"/>
      <w:lvlText w:val="▪"/>
      <w:lvlJc w:val="left"/>
      <w:pPr>
        <w:ind w:left="52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6C37A">
      <w:start w:val="1"/>
      <w:numFmt w:val="bullet"/>
      <w:lvlText w:val="•"/>
      <w:lvlJc w:val="left"/>
      <w:pPr>
        <w:ind w:left="59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009B0E">
      <w:start w:val="1"/>
      <w:numFmt w:val="bullet"/>
      <w:lvlText w:val="o"/>
      <w:lvlJc w:val="left"/>
      <w:pPr>
        <w:ind w:left="66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4495DE">
      <w:start w:val="1"/>
      <w:numFmt w:val="bullet"/>
      <w:lvlText w:val="▪"/>
      <w:lvlJc w:val="left"/>
      <w:pPr>
        <w:ind w:left="73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875F91"/>
    <w:multiLevelType w:val="hybridMultilevel"/>
    <w:tmpl w:val="3186326A"/>
    <w:lvl w:ilvl="0" w:tplc="7448508E">
      <w:start w:val="1"/>
      <w:numFmt w:val="decimal"/>
      <w:lvlText w:val="%1.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8AB03E">
      <w:start w:val="1"/>
      <w:numFmt w:val="lowerLetter"/>
      <w:lvlText w:val="%2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7CA466">
      <w:start w:val="1"/>
      <w:numFmt w:val="lowerRoman"/>
      <w:lvlText w:val="%3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9CFB64">
      <w:start w:val="1"/>
      <w:numFmt w:val="decimal"/>
      <w:lvlText w:val="%4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02F8E">
      <w:start w:val="1"/>
      <w:numFmt w:val="lowerLetter"/>
      <w:lvlText w:val="%5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8AEB2">
      <w:start w:val="1"/>
      <w:numFmt w:val="lowerRoman"/>
      <w:lvlText w:val="%6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189628">
      <w:start w:val="1"/>
      <w:numFmt w:val="decimal"/>
      <w:lvlText w:val="%7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34EAD6">
      <w:start w:val="1"/>
      <w:numFmt w:val="lowerLetter"/>
      <w:lvlText w:val="%8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EE0C6">
      <w:start w:val="1"/>
      <w:numFmt w:val="lowerRoman"/>
      <w:lvlText w:val="%9"/>
      <w:lvlJc w:val="left"/>
      <w:pPr>
        <w:ind w:left="7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9C2A22"/>
    <w:multiLevelType w:val="hybridMultilevel"/>
    <w:tmpl w:val="2836E762"/>
    <w:lvl w:ilvl="0" w:tplc="1EBEC59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A93C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9C047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84860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AA62A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4CB2B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6C32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485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54412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6165AD"/>
    <w:multiLevelType w:val="hybridMultilevel"/>
    <w:tmpl w:val="C12C2C64"/>
    <w:lvl w:ilvl="0" w:tplc="4D9A81B4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102472">
      <w:start w:val="1"/>
      <w:numFmt w:val="bullet"/>
      <w:lvlRestart w:val="0"/>
      <w:lvlText w:val="-"/>
      <w:lvlJc w:val="left"/>
      <w:pPr>
        <w:ind w:left="169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1C5ECA">
      <w:start w:val="1"/>
      <w:numFmt w:val="bullet"/>
      <w:lvlText w:val="▪"/>
      <w:lvlJc w:val="left"/>
      <w:pPr>
        <w:ind w:left="26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24BF2">
      <w:start w:val="1"/>
      <w:numFmt w:val="bullet"/>
      <w:lvlText w:val="•"/>
      <w:lvlJc w:val="left"/>
      <w:pPr>
        <w:ind w:left="33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868A6">
      <w:start w:val="1"/>
      <w:numFmt w:val="bullet"/>
      <w:lvlText w:val="o"/>
      <w:lvlJc w:val="left"/>
      <w:pPr>
        <w:ind w:left="4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288A40">
      <w:start w:val="1"/>
      <w:numFmt w:val="bullet"/>
      <w:lvlText w:val="▪"/>
      <w:lvlJc w:val="left"/>
      <w:pPr>
        <w:ind w:left="4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44C124">
      <w:start w:val="1"/>
      <w:numFmt w:val="bullet"/>
      <w:lvlText w:val="•"/>
      <w:lvlJc w:val="left"/>
      <w:pPr>
        <w:ind w:left="5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8D7D6">
      <w:start w:val="1"/>
      <w:numFmt w:val="bullet"/>
      <w:lvlText w:val="o"/>
      <w:lvlJc w:val="left"/>
      <w:pPr>
        <w:ind w:left="6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149A58">
      <w:start w:val="1"/>
      <w:numFmt w:val="bullet"/>
      <w:lvlText w:val="▪"/>
      <w:lvlJc w:val="left"/>
      <w:pPr>
        <w:ind w:left="6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3623D9"/>
    <w:multiLevelType w:val="hybridMultilevel"/>
    <w:tmpl w:val="DEE8E7EE"/>
    <w:lvl w:ilvl="0" w:tplc="3E1407DE">
      <w:start w:val="1"/>
      <w:numFmt w:val="decimal"/>
      <w:lvlText w:val="%1)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2B082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A2CB14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DC9A64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8CCFBA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7212DE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009BB2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60816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CB944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28"/>
    <w:rsid w:val="009C1D31"/>
    <w:rsid w:val="00C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F6C45-62F0-42BD-B390-3FE1C50A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9" w:lineRule="auto"/>
      <w:ind w:left="958" w:right="540" w:firstLine="698"/>
      <w:jc w:val="both"/>
    </w:pPr>
    <w:rPr>
      <w:rFonts w:ascii="Cambria" w:eastAsia="Cambria" w:hAnsi="Cambria" w:cs="Cambr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Голицина</dc:creator>
  <cp:keywords/>
  <cp:lastModifiedBy>Ёлкина Светлана Анатольевна</cp:lastModifiedBy>
  <cp:revision>2</cp:revision>
  <dcterms:created xsi:type="dcterms:W3CDTF">2018-08-08T15:52:00Z</dcterms:created>
  <dcterms:modified xsi:type="dcterms:W3CDTF">2018-08-08T15:52:00Z</dcterms:modified>
</cp:coreProperties>
</file>