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05" w:rsidRDefault="002738D4">
      <w:pPr>
        <w:spacing w:after="0" w:line="249" w:lineRule="auto"/>
        <w:ind w:left="1438" w:right="0" w:firstLine="0"/>
        <w:jc w:val="left"/>
      </w:pPr>
      <w:bookmarkStart w:id="0" w:name="_GoBack"/>
      <w:bookmarkEnd w:id="0"/>
      <w:r>
        <w:rPr>
          <w:b/>
        </w:rPr>
        <w:t xml:space="preserve">Тезисы выступления министра экономики Республики </w:t>
      </w:r>
    </w:p>
    <w:p w:rsidR="00271505" w:rsidRDefault="002738D4">
      <w:pPr>
        <w:spacing w:after="0" w:line="249" w:lineRule="auto"/>
        <w:ind w:left="595" w:right="0" w:hanging="454"/>
        <w:jc w:val="left"/>
      </w:pPr>
      <w:r>
        <w:rPr>
          <w:b/>
        </w:rPr>
        <w:t xml:space="preserve">Татарстан М.Р.Шагиахметова на заседании Экономического совета при Кабинете Министров Республики Татарстан по вопросам </w:t>
      </w:r>
    </w:p>
    <w:p w:rsidR="00271505" w:rsidRDefault="002738D4">
      <w:pPr>
        <w:spacing w:after="0" w:line="260" w:lineRule="auto"/>
        <w:ind w:right="0" w:firstLine="4"/>
        <w:jc w:val="center"/>
      </w:pPr>
      <w:r>
        <w:rPr>
          <w:b/>
        </w:rPr>
        <w:t xml:space="preserve">формирования благоприятного предпринимательского климата в Республике Татарстан и рассмотрения «Дорожной карты» развития малого и среднего предпринимательства в Республике Татарстан на </w:t>
      </w:r>
    </w:p>
    <w:p w:rsidR="00271505" w:rsidRDefault="002738D4">
      <w:pPr>
        <w:spacing w:after="0" w:line="260" w:lineRule="auto"/>
        <w:ind w:left="702" w:right="707" w:firstLine="4"/>
        <w:jc w:val="center"/>
      </w:pPr>
      <w:r>
        <w:rPr>
          <w:b/>
        </w:rPr>
        <w:t xml:space="preserve">2014-2016 годы» </w:t>
      </w:r>
    </w:p>
    <w:p w:rsidR="00271505" w:rsidRDefault="002738D4">
      <w:pPr>
        <w:spacing w:after="227" w:line="259" w:lineRule="auto"/>
        <w:ind w:left="708" w:right="0" w:firstLine="0"/>
        <w:jc w:val="left"/>
      </w:pPr>
      <w:r>
        <w:t xml:space="preserve"> </w:t>
      </w:r>
    </w:p>
    <w:p w:rsidR="00271505" w:rsidRDefault="002738D4">
      <w:pPr>
        <w:spacing w:after="218" w:line="260" w:lineRule="auto"/>
        <w:ind w:left="702" w:right="1" w:firstLine="4"/>
        <w:jc w:val="center"/>
      </w:pPr>
      <w:r>
        <w:rPr>
          <w:b/>
        </w:rPr>
        <w:t xml:space="preserve">Уважаемый Рустам Нургалиевич! </w:t>
      </w:r>
    </w:p>
    <w:p w:rsidR="00271505" w:rsidRDefault="002738D4">
      <w:pPr>
        <w:spacing w:after="144" w:line="260" w:lineRule="auto"/>
        <w:ind w:left="702" w:right="0" w:firstLine="4"/>
        <w:jc w:val="center"/>
      </w:pPr>
      <w:r>
        <w:rPr>
          <w:b/>
        </w:rPr>
        <w:t xml:space="preserve">Уважаемые коллеги! </w:t>
      </w:r>
    </w:p>
    <w:p w:rsidR="00271505" w:rsidRDefault="002738D4">
      <w:pPr>
        <w:ind w:left="-15" w:right="0"/>
      </w:pPr>
      <w:r>
        <w:t xml:space="preserve">В условиях замедления темпов экономического роста возрастает роль малого и среднего бизнеса, который быстрее адаптируется к изменяющейся среде и обеспечивает занятость для значительной части населения. </w:t>
      </w:r>
    </w:p>
    <w:p w:rsidR="00271505" w:rsidRDefault="002738D4">
      <w:pPr>
        <w:ind w:left="-15" w:right="0"/>
      </w:pPr>
      <w:r>
        <w:t>За последние три года количество малых и средних пред</w:t>
      </w:r>
      <w:r>
        <w:t xml:space="preserve">приятий в республике увеличилось на 19%, при этом количество индивидуальных предпринимателей снизилось почти на 30%. </w:t>
      </w:r>
    </w:p>
    <w:p w:rsidR="00271505" w:rsidRDefault="002738D4">
      <w:pPr>
        <w:spacing w:after="42"/>
        <w:ind w:left="-15" w:right="0"/>
      </w:pPr>
      <w:r>
        <w:t xml:space="preserve">Основными причинами прекращения деятельности индивидуальных предпринимателей, по результатам опроса УФНС по РТ, являются: </w:t>
      </w:r>
    </w:p>
    <w:p w:rsidR="00271505" w:rsidRDefault="002738D4">
      <w:pPr>
        <w:numPr>
          <w:ilvl w:val="0"/>
          <w:numId w:val="1"/>
        </w:numPr>
        <w:spacing w:after="181" w:line="259" w:lineRule="auto"/>
        <w:ind w:right="0" w:firstLine="0"/>
      </w:pPr>
      <w:r>
        <w:t xml:space="preserve">увеличение фиксированного размера страхового взноса; </w:t>
      </w:r>
    </w:p>
    <w:p w:rsidR="00271505" w:rsidRDefault="002738D4">
      <w:pPr>
        <w:numPr>
          <w:ilvl w:val="0"/>
          <w:numId w:val="1"/>
        </w:numPr>
        <w:spacing w:after="183" w:line="259" w:lineRule="auto"/>
        <w:ind w:right="0" w:firstLine="0"/>
      </w:pPr>
      <w:r>
        <w:t xml:space="preserve">низкая рентабельность предприятия; </w:t>
      </w:r>
    </w:p>
    <w:p w:rsidR="00271505" w:rsidRDefault="002738D4">
      <w:pPr>
        <w:numPr>
          <w:ilvl w:val="0"/>
          <w:numId w:val="1"/>
        </w:numPr>
        <w:ind w:right="0" w:firstLine="0"/>
      </w:pPr>
      <w:r>
        <w:t xml:space="preserve">проблема со сбытом продукции;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высокая арендная плата. </w:t>
      </w:r>
    </w:p>
    <w:p w:rsidR="00271505" w:rsidRDefault="002738D4">
      <w:pPr>
        <w:ind w:left="-15" w:right="0"/>
      </w:pPr>
      <w:r>
        <w:t>При этом доля малого и среднего бизнеса в экономике республики, по данным Комитета по социально-экономическом</w:t>
      </w:r>
      <w:r>
        <w:t xml:space="preserve">у мониторингу, по итогам 2013 года составила 25,6%. </w:t>
      </w:r>
    </w:p>
    <w:p w:rsidR="00271505" w:rsidRDefault="002738D4">
      <w:pPr>
        <w:ind w:left="-15" w:right="0"/>
      </w:pPr>
      <w:r>
        <w:lastRenderedPageBreak/>
        <w:t xml:space="preserve">Вместе с тем, в развитых странах мира малый и средний бизнес в экономике занимает от 40% до 70%. </w:t>
      </w:r>
    </w:p>
    <w:p w:rsidR="00271505" w:rsidRDefault="002738D4">
      <w:pPr>
        <w:ind w:left="-15" w:right="0"/>
      </w:pPr>
      <w:r>
        <w:t xml:space="preserve">В этих странах до 25% оборота малого и среднего предпринимательства приходится на промышленность, причем </w:t>
      </w:r>
      <w:r>
        <w:t xml:space="preserve">значительная часть предприятий работает в инновационной сфере. В республике же доля промышленности в обороте малого и среднего бизнеса не превышает 16%, а основная часть оборота сконцентрирована в сфере торговли – более 50%. </w:t>
      </w:r>
    </w:p>
    <w:p w:rsidR="00271505" w:rsidRDefault="002738D4">
      <w:pPr>
        <w:ind w:left="-15" w:right="0"/>
      </w:pPr>
      <w:r>
        <w:t>Вместе с тем, от уровня развит</w:t>
      </w:r>
      <w:r>
        <w:t xml:space="preserve">ия малого и среднего предпринимательства в реальном секторе во многом зависит устойчивость экономического роста в среднесрочной перспективе. </w:t>
      </w:r>
    </w:p>
    <w:p w:rsidR="00271505" w:rsidRDefault="002738D4">
      <w:pPr>
        <w:ind w:left="-15" w:right="0"/>
      </w:pPr>
      <w:r>
        <w:t>Развитие сектора малого и среднего предпринимательства в республике, наряду с недостаточными темпами роста добавле</w:t>
      </w:r>
      <w:r>
        <w:t xml:space="preserve">нной стоимости по сравнению с крупными предприятиями, в настоящее время также сдерживается рядом проблем, обозначенных в качестве наиболее значимых самими предпринимателями. </w:t>
      </w:r>
    </w:p>
    <w:p w:rsidR="00271505" w:rsidRDefault="002738D4">
      <w:pPr>
        <w:ind w:left="-15" w:right="0"/>
      </w:pPr>
      <w:r>
        <w:t xml:space="preserve">Для их решения необходима системная работа по четырем основным направлениями: </w:t>
      </w:r>
    </w:p>
    <w:p w:rsidR="00271505" w:rsidRDefault="002738D4">
      <w:pPr>
        <w:numPr>
          <w:ilvl w:val="0"/>
          <w:numId w:val="2"/>
        </w:numPr>
        <w:ind w:right="0"/>
      </w:pPr>
      <w:r>
        <w:t>Со</w:t>
      </w:r>
      <w:r>
        <w:t xml:space="preserve">вершенствование регуляторной среды, которая включает в себя эффективность различных административных процедур и уровень тарифной и налоговой нагрузки; </w:t>
      </w:r>
    </w:p>
    <w:p w:rsidR="00271505" w:rsidRDefault="002738D4">
      <w:pPr>
        <w:numPr>
          <w:ilvl w:val="0"/>
          <w:numId w:val="2"/>
        </w:numPr>
        <w:spacing w:after="216" w:line="259" w:lineRule="auto"/>
        <w:ind w:right="0"/>
      </w:pPr>
      <w:r>
        <w:t xml:space="preserve">Повышение эффективности работы институтов для бизнеса; </w:t>
      </w:r>
    </w:p>
    <w:p w:rsidR="00271505" w:rsidRDefault="002738D4">
      <w:pPr>
        <w:numPr>
          <w:ilvl w:val="0"/>
          <w:numId w:val="2"/>
        </w:numPr>
        <w:spacing w:after="219" w:line="259" w:lineRule="auto"/>
        <w:ind w:right="0"/>
      </w:pPr>
      <w:r>
        <w:t>Повышение доступности инфраструктуры и ресурсов;</w:t>
      </w:r>
      <w:r>
        <w:t xml:space="preserve"> </w:t>
      </w:r>
    </w:p>
    <w:p w:rsidR="00271505" w:rsidRDefault="002738D4">
      <w:pPr>
        <w:numPr>
          <w:ilvl w:val="0"/>
          <w:numId w:val="2"/>
        </w:numPr>
        <w:ind w:right="0"/>
      </w:pPr>
      <w:r>
        <w:lastRenderedPageBreak/>
        <w:t xml:space="preserve">Повышение эффективности системы государственной поддержки предпринимательства. </w:t>
      </w:r>
    </w:p>
    <w:p w:rsidR="00271505" w:rsidRDefault="002738D4">
      <w:pPr>
        <w:ind w:left="-15" w:right="0"/>
      </w:pPr>
      <w:r>
        <w:t xml:space="preserve">Несмотря на то, что все регионы Российской Федерации находятся в едином правовом поле, эффективность административных процедур в них различается. </w:t>
      </w:r>
    </w:p>
    <w:p w:rsidR="00271505" w:rsidRDefault="002738D4">
      <w:pPr>
        <w:ind w:left="-15" w:right="0"/>
      </w:pPr>
      <w:r>
        <w:t>В условиях же глобальной ко</w:t>
      </w:r>
      <w:r>
        <w:t xml:space="preserve">нкуренции необходимо ориентироваться на лучшие мировые практики. </w:t>
      </w:r>
    </w:p>
    <w:p w:rsidR="00271505" w:rsidRDefault="002738D4">
      <w:pPr>
        <w:ind w:left="-15" w:right="0"/>
      </w:pPr>
      <w:r>
        <w:t>Так, если в странах-лидерах для начала деятельности предприятия необходимо пройти не более 3 процедур и потратить до 3 дней, то в Татарстане для этого необходимо пройти 9 процедур за 21 день</w:t>
      </w:r>
      <w:r>
        <w:t xml:space="preserve">, включая открытие расчетного счета в банке, предварительную оплату уставного капитала и получение печати. </w:t>
      </w:r>
    </w:p>
    <w:p w:rsidR="00271505" w:rsidRDefault="002738D4">
      <w:pPr>
        <w:ind w:left="-15" w:right="0"/>
      </w:pPr>
      <w:r>
        <w:t xml:space="preserve">С целью снижения этих сроков в республике налоговым органам необходимо обеспечить направление сведений в государственные внебюджетные фонды на следующий рабочий день после государственной регистрации предприятия. </w:t>
      </w:r>
    </w:p>
    <w:p w:rsidR="00271505" w:rsidRDefault="002738D4">
      <w:pPr>
        <w:ind w:left="-15" w:right="0"/>
      </w:pPr>
      <w:r>
        <w:t>Также необходима эффективная совместная ра</w:t>
      </w:r>
      <w:r>
        <w:t xml:space="preserve">бота по реализации соответствующей «дорожной карты», утвержденной Распоряжением Правительства РФ, в рамках которой срок регистрации юридических лиц и индивидуальных предпринимателей к 2018 году должен быть сокращен до 5 дней. </w:t>
      </w:r>
    </w:p>
    <w:p w:rsidR="00271505" w:rsidRDefault="002738D4">
      <w:pPr>
        <w:ind w:left="-15" w:right="0"/>
      </w:pPr>
      <w:r>
        <w:t>Регистрация собственности в с</w:t>
      </w:r>
      <w:r>
        <w:t xml:space="preserve">транах-лидерах по данному показателю занимает 2 дня и требует 1 или 2 процедуры. </w:t>
      </w:r>
    </w:p>
    <w:p w:rsidR="00271505" w:rsidRDefault="002738D4">
      <w:pPr>
        <w:ind w:left="-15" w:right="0"/>
      </w:pPr>
      <w:r>
        <w:lastRenderedPageBreak/>
        <w:t>В целях повышения эффективности данной процедуры Управлению Росреестра по Республике Татарстан необходимо обеспечить реализацию соответствующей федеральной «дорожной карты» и</w:t>
      </w:r>
      <w:r>
        <w:t xml:space="preserve"> сократить к 2018 году срок государственной регистрации собственности до 7 дней. </w:t>
      </w:r>
    </w:p>
    <w:p w:rsidR="00271505" w:rsidRDefault="002738D4">
      <w:pPr>
        <w:ind w:left="-15" w:right="0"/>
      </w:pPr>
      <w:r>
        <w:t xml:space="preserve">В том числе необходимо обеспечить доведение доли государственных услуг по регистрации прав и кадастровому учету, оказываемых через Интернет, до 70%. </w:t>
      </w:r>
    </w:p>
    <w:p w:rsidR="00271505" w:rsidRDefault="002738D4">
      <w:pPr>
        <w:ind w:left="-15" w:right="0"/>
      </w:pPr>
      <w:r>
        <w:t>По эффективности процеду</w:t>
      </w:r>
      <w:r>
        <w:t xml:space="preserve">ры выдачи разрешений на строительство нам также необходимо ориентироваться на страны-лидеры. </w:t>
      </w:r>
    </w:p>
    <w:p w:rsidR="00271505" w:rsidRDefault="002738D4">
      <w:pPr>
        <w:ind w:left="-15" w:right="0"/>
      </w:pPr>
      <w:r>
        <w:t xml:space="preserve">На сегодняшний день в результате проводимой работы в республике снижены сроки по ряду процедур, относящихся к компетенции региональных органов власти. </w:t>
      </w:r>
    </w:p>
    <w:p w:rsidR="00271505" w:rsidRDefault="002738D4">
      <w:pPr>
        <w:ind w:left="-15" w:right="0"/>
      </w:pPr>
      <w:r>
        <w:t>Снижение ч</w:t>
      </w:r>
      <w:r>
        <w:t xml:space="preserve">исла и сроков отдельных процедур, регламентированных на федеральном уровне, планируется в рамках реализации соответствующей «дорожной карты». </w:t>
      </w:r>
    </w:p>
    <w:p w:rsidR="00271505" w:rsidRDefault="002738D4">
      <w:pPr>
        <w:spacing w:after="44"/>
        <w:ind w:left="-15" w:right="0"/>
      </w:pPr>
      <w:r>
        <w:t xml:space="preserve">При этом также необходимо обратить внимание на лучшие региональные практики: </w:t>
      </w:r>
    </w:p>
    <w:p w:rsidR="00271505" w:rsidRDefault="002738D4">
      <w:pPr>
        <w:numPr>
          <w:ilvl w:val="0"/>
          <w:numId w:val="3"/>
        </w:numPr>
        <w:spacing w:after="48"/>
        <w:ind w:right="0"/>
      </w:pPr>
      <w:r>
        <w:t xml:space="preserve">Так, например, в Москве 7 процедур </w:t>
      </w:r>
      <w:r>
        <w:t xml:space="preserve">в сфере строительства переведены в электронный вид, все услуги сведены в один онлайн «кабинет застройщика».  </w:t>
      </w:r>
    </w:p>
    <w:p w:rsidR="00271505" w:rsidRDefault="002738D4">
      <w:pPr>
        <w:numPr>
          <w:ilvl w:val="0"/>
          <w:numId w:val="3"/>
        </w:numPr>
        <w:ind w:right="0"/>
      </w:pPr>
      <w:r>
        <w:t xml:space="preserve">В Свердловской области принят закон, определивший случаи, при которых не требуется получение разрешения на строительство. </w:t>
      </w:r>
    </w:p>
    <w:p w:rsidR="00271505" w:rsidRDefault="002738D4">
      <w:pPr>
        <w:ind w:left="-15" w:right="0"/>
      </w:pPr>
      <w:r>
        <w:lastRenderedPageBreak/>
        <w:t>С целью дальнейшего сок</w:t>
      </w:r>
      <w:r>
        <w:t>ращения сроков выдачи разрешений на строительство в республике требуется актуализация соответствующей градостроительной документации. Для этого необходимо завершение работ по утверждению документов территориального планирования и проектов планировки террит</w:t>
      </w:r>
      <w:r>
        <w:t xml:space="preserve">орий. </w:t>
      </w:r>
    </w:p>
    <w:p w:rsidR="00271505" w:rsidRDefault="002738D4">
      <w:pPr>
        <w:ind w:left="-15" w:right="0"/>
      </w:pPr>
      <w:r>
        <w:t xml:space="preserve">Также в республике существует большой резерв по повышению эффективности процедуры подключения к системе энергоснабжения. </w:t>
      </w:r>
    </w:p>
    <w:p w:rsidR="00271505" w:rsidRDefault="002738D4">
      <w:pPr>
        <w:ind w:left="-15" w:right="0"/>
      </w:pPr>
      <w:r>
        <w:t xml:space="preserve">На сегодняшний день в результате проводимой работы сокращены сроки технологического присоединения к электрическим сетям. </w:t>
      </w:r>
    </w:p>
    <w:p w:rsidR="00271505" w:rsidRDefault="002738D4">
      <w:pPr>
        <w:ind w:left="-15" w:right="0"/>
      </w:pPr>
      <w:r>
        <w:t>Здесь</w:t>
      </w:r>
      <w:r>
        <w:t xml:space="preserve"> также необходимо ориентироваться на лучшие региональные практики. </w:t>
      </w:r>
    </w:p>
    <w:p w:rsidR="00271505" w:rsidRDefault="002738D4">
      <w:pPr>
        <w:ind w:left="-15" w:right="0"/>
      </w:pPr>
      <w:r>
        <w:t>Так, например, в Москве число процедур при подключении к электроснабжению снижено в 2 раза, сроки оформления сокращены на 2 месяца, стоимость оформления уменьшилась в 5 раз. При Правительс</w:t>
      </w:r>
      <w:r>
        <w:t xml:space="preserve">тве Москвы созданы рабочие группы с участием экспертов и предпринимателей для снятия административных барьеров в сфере электроэнергетики. </w:t>
      </w:r>
    </w:p>
    <w:p w:rsidR="00271505" w:rsidRDefault="002738D4">
      <w:pPr>
        <w:ind w:left="-15" w:right="0"/>
      </w:pPr>
      <w:r>
        <w:t>В качестве лучших региональных практик также можно привести Ленинградскую и Ульяновскую области, в которых реализован</w:t>
      </w:r>
      <w:r>
        <w:t xml:space="preserve"> ряд мероприятий по сокращению сроков и снижению административных барьеров при технологическом присоединении. </w:t>
      </w:r>
    </w:p>
    <w:p w:rsidR="00271505" w:rsidRDefault="002738D4">
      <w:pPr>
        <w:ind w:left="-15" w:right="0"/>
      </w:pPr>
      <w:r>
        <w:t xml:space="preserve">Учитывая данные практики, считаем </w:t>
      </w:r>
      <w:r>
        <w:t xml:space="preserve">необходимым Министерству промышленности и торговли совместно с Государственным комитетом по </w:t>
      </w:r>
      <w:r>
        <w:lastRenderedPageBreak/>
        <w:t>тарифам внести изменения в республиканскую дорожную карту «Повышение доступности энергетической инфраструктуры», предусмотрев конкретные мероприятия и индикаторы по</w:t>
      </w:r>
      <w:r>
        <w:t xml:space="preserve"> снижению сроков и количества процедур подключения к системе энергоснабжения. </w:t>
      </w:r>
    </w:p>
    <w:p w:rsidR="00271505" w:rsidRDefault="002738D4">
      <w:pPr>
        <w:ind w:left="-15" w:right="0"/>
      </w:pPr>
      <w:r>
        <w:t>Следует отметить, что при осуществлении технологического присоединения выполняется комплекс различных работ, что требует получения разрешительной документации от органов исполни</w:t>
      </w:r>
      <w:r>
        <w:t xml:space="preserve">тельной власти, в том числе муниципальных образований Республики Татарстан. </w:t>
      </w:r>
    </w:p>
    <w:p w:rsidR="00271505" w:rsidRDefault="002738D4">
      <w:pPr>
        <w:ind w:left="-15" w:right="0"/>
      </w:pPr>
      <w:r>
        <w:t>В связи с этим на муниципальном уровне необходимо внесение изменений в административные регламенты в части оптимизации сроков по рассмотрению и оформлению земельных участков, согл</w:t>
      </w:r>
      <w:r>
        <w:t xml:space="preserve">асованию прохождения трасс, выдаче разрешений на строительство и так далее. </w:t>
      </w:r>
    </w:p>
    <w:p w:rsidR="00271505" w:rsidRDefault="002738D4">
      <w:pPr>
        <w:ind w:left="-15" w:right="0"/>
      </w:pPr>
      <w:r>
        <w:t xml:space="preserve">Следующее направление совершенствования регуляторной среды – оптимизация тарифной и налоговой нагрузки на предпринимателей. </w:t>
      </w:r>
    </w:p>
    <w:p w:rsidR="00271505" w:rsidRDefault="002738D4">
      <w:pPr>
        <w:ind w:left="-15" w:right="0"/>
      </w:pPr>
      <w:r>
        <w:t xml:space="preserve">Так, в республике в настоящее время, тарифы на услуги </w:t>
      </w:r>
      <w:r>
        <w:t xml:space="preserve">по передаче электрической энергии по высокому (ВН) и среднему (СН1) уровням напряжения, на которых потребителями являются преимущественно крупные предприятия, установлены на самом низком уровне в Приволжском федеральном округе. </w:t>
      </w:r>
    </w:p>
    <w:p w:rsidR="00271505" w:rsidRDefault="002738D4">
      <w:pPr>
        <w:ind w:left="-15" w:right="0"/>
      </w:pPr>
      <w:r>
        <w:t>Вместе с тем, тарифы на усл</w:t>
      </w:r>
      <w:r>
        <w:t xml:space="preserve">уги по передаче электрической энергии по уровням напряжения среднему (СН2) и низкому (НН), потребителями которых являются субъекты малого и среднего предпринимательства, является одними из самых высоких в Приволжском федеральном округе. </w:t>
      </w:r>
    </w:p>
    <w:p w:rsidR="00271505" w:rsidRDefault="002738D4">
      <w:pPr>
        <w:ind w:left="-15" w:right="0"/>
      </w:pPr>
      <w:r>
        <w:t>Необходимо отметит</w:t>
      </w:r>
      <w:r>
        <w:t xml:space="preserve">ь, что Государственным комитетом Республики Татарстан по тарифам на протяжении ряда лет темпы роста тарифов на уровнях напряжения СН2 и НН сдерживаются. </w:t>
      </w:r>
    </w:p>
    <w:p w:rsidR="00271505" w:rsidRDefault="002738D4">
      <w:pPr>
        <w:ind w:left="-15" w:right="0"/>
      </w:pPr>
      <w:r>
        <w:t xml:space="preserve">Считаем целесообразным эту работу продолжить и </w:t>
      </w:r>
      <w:r>
        <w:t xml:space="preserve">обеспечить доведение тарифа для малого и среднего бизнеса к 2016 году до среднего уровня по Приволжскому федеральному округу и ниже.  </w:t>
      </w:r>
    </w:p>
    <w:p w:rsidR="00271505" w:rsidRDefault="002738D4">
      <w:pPr>
        <w:ind w:left="-15" w:right="0"/>
      </w:pPr>
      <w:r>
        <w:t xml:space="preserve">В сфере налоговой политики большое число обращений предпринимателей касается патентного законодательства.  </w:t>
      </w:r>
    </w:p>
    <w:p w:rsidR="00271505" w:rsidRDefault="002738D4">
      <w:pPr>
        <w:ind w:left="-15" w:right="0"/>
      </w:pPr>
      <w:r>
        <w:t xml:space="preserve">В частности, </w:t>
      </w:r>
      <w:r>
        <w:t xml:space="preserve">установленный в республике потенциально возможный доход, исходя из которого определяется стоимость патента, является одним из самых высоких в ПФО. </w:t>
      </w:r>
    </w:p>
    <w:p w:rsidR="00271505" w:rsidRDefault="002738D4">
      <w:pPr>
        <w:ind w:left="-15" w:right="0"/>
      </w:pPr>
      <w:r>
        <w:t>По сравнению с 2012 годом налоговая нагрузка на предпринимателя, применяющего патентную систему налогообложе</w:t>
      </w:r>
      <w:r>
        <w:t xml:space="preserve">ния, выросла почти в 7 раз. </w:t>
      </w:r>
    </w:p>
    <w:p w:rsidR="00271505" w:rsidRDefault="002738D4">
      <w:pPr>
        <w:ind w:left="-15" w:right="0"/>
      </w:pPr>
      <w:r>
        <w:t xml:space="preserve">С целью совершенствования патентной системы на республиканском уровне, уважаемый Рустам Нургалиевич, предлагаем рассмотреть возможность изменения действующей дифференциации стоимости </w:t>
      </w:r>
      <w:r>
        <w:tab/>
        <w:t xml:space="preserve">патента </w:t>
      </w:r>
      <w:r>
        <w:tab/>
        <w:t xml:space="preserve">в </w:t>
      </w:r>
      <w:r>
        <w:tab/>
        <w:t xml:space="preserve">зависимости </w:t>
      </w:r>
      <w:r>
        <w:tab/>
        <w:t xml:space="preserve">от </w:t>
      </w:r>
      <w:r>
        <w:tab/>
        <w:t xml:space="preserve">численности </w:t>
      </w:r>
      <w:r>
        <w:tab/>
        <w:t>р</w:t>
      </w:r>
      <w:r>
        <w:t xml:space="preserve">аботников предприятия. </w:t>
      </w:r>
    </w:p>
    <w:p w:rsidR="00271505" w:rsidRDefault="002738D4">
      <w:pPr>
        <w:ind w:left="-15" w:right="0"/>
      </w:pPr>
      <w:r>
        <w:t xml:space="preserve">При этом на федеральном уровне предлагаем увеличить число категорий муниципальных образований в зависимости от численности населения, по которым возможно установление различных размеров подлежащего налогообложению дохода. </w:t>
      </w:r>
    </w:p>
    <w:p w:rsidR="00271505" w:rsidRDefault="002738D4">
      <w:pPr>
        <w:spacing w:after="214" w:line="259" w:lineRule="auto"/>
        <w:ind w:left="708" w:right="0" w:firstLine="0"/>
        <w:jc w:val="left"/>
      </w:pPr>
      <w:r>
        <w:t xml:space="preserve"> </w:t>
      </w:r>
    </w:p>
    <w:p w:rsidR="00271505" w:rsidRDefault="002738D4">
      <w:pPr>
        <w:spacing w:after="215" w:line="259" w:lineRule="auto"/>
        <w:ind w:left="708" w:right="0" w:firstLine="0"/>
      </w:pPr>
      <w:r>
        <w:t>Уважаем</w:t>
      </w:r>
      <w:r>
        <w:t xml:space="preserve">ые коллеги! </w:t>
      </w:r>
    </w:p>
    <w:p w:rsidR="00271505" w:rsidRDefault="002738D4">
      <w:pPr>
        <w:ind w:left="-15" w:right="0"/>
      </w:pPr>
      <w:r>
        <w:t xml:space="preserve">Вторым направлением работы по улучшению деловой среды является совершенствование институтов для бизнеса. </w:t>
      </w:r>
    </w:p>
    <w:p w:rsidR="00271505" w:rsidRDefault="002738D4">
      <w:pPr>
        <w:ind w:left="-15" w:right="0"/>
      </w:pPr>
      <w:r>
        <w:t xml:space="preserve">В республике сегодня существует ряд институтов, которые должны обеспечивать защиту предпринимателей. </w:t>
      </w:r>
    </w:p>
    <w:p w:rsidR="00271505" w:rsidRDefault="002738D4">
      <w:pPr>
        <w:ind w:left="-15" w:right="0"/>
      </w:pPr>
      <w:r>
        <w:t>Также при прокуратуре Республики Та</w:t>
      </w:r>
      <w:r>
        <w:t xml:space="preserve">тарстан создана Межведомственная рабочая группа по защите прав предпринимателей, в состав которой входят представители министерств и ведомств республики, а также общественных организаций предпринимателей. </w:t>
      </w:r>
    </w:p>
    <w:p w:rsidR="00271505" w:rsidRDefault="002738D4">
      <w:pPr>
        <w:ind w:left="-15" w:right="0"/>
      </w:pPr>
      <w:r>
        <w:t>Проведенный в рамках деятельности межведомственной</w:t>
      </w:r>
      <w:r>
        <w:t xml:space="preserve"> рабочей группы анализ эффективности проверок органов контроля показал, что почти 39% проведенных проверочных мероприятий являются безрезультативными. </w:t>
      </w:r>
    </w:p>
    <w:p w:rsidR="00271505" w:rsidRDefault="002738D4">
      <w:pPr>
        <w:ind w:left="-15" w:right="0"/>
      </w:pPr>
      <w:r>
        <w:t>В этой связи, при формировании сводного плана проведения плановых проверок на 2014 год исключено более 3</w:t>
      </w:r>
      <w:r>
        <w:t xml:space="preserve"> тысяч необоснованных проверочных мероприятий. </w:t>
      </w:r>
    </w:p>
    <w:p w:rsidR="00271505" w:rsidRDefault="002738D4">
      <w:pPr>
        <w:ind w:left="-15" w:right="0"/>
      </w:pPr>
      <w:r>
        <w:t xml:space="preserve">Считаем необходимым данную работу продолжить и обеспечить снижение избыточного количества как плановых, так и внеплановых проверок хозяйствующих субъектов и повышение качества проверочных мероприятий. </w:t>
      </w:r>
    </w:p>
    <w:p w:rsidR="00271505" w:rsidRDefault="002738D4">
      <w:pPr>
        <w:ind w:left="-15" w:right="0"/>
      </w:pPr>
      <w:r>
        <w:t xml:space="preserve">Кроме </w:t>
      </w:r>
      <w:r>
        <w:t xml:space="preserve">того, считаем необходимым продолжить практику совместных выездов с Уполномоченным при Президенте Республики Татарстан по защите прав предпринимателей в города и районы для проведения регулярных рабочих встреч с предпринимательским сообществом. </w:t>
      </w:r>
    </w:p>
    <w:p w:rsidR="00271505" w:rsidRDefault="002738D4">
      <w:pPr>
        <w:ind w:left="-15" w:right="0"/>
      </w:pPr>
      <w:r>
        <w:t>При этом не</w:t>
      </w:r>
      <w:r>
        <w:t>обходимо отметить, что в отдельных случаях представители бизнеса, требуя снижения числа проверок, сами работают по непрозрачным схемам. Сегодня, по оценкам Комитета РТ по социально-экономическому мониторингу, на неформальном рынке занято 369,4 тыс. человек</w:t>
      </w:r>
      <w:r>
        <w:t xml:space="preserve">. </w:t>
      </w:r>
    </w:p>
    <w:p w:rsidR="00271505" w:rsidRDefault="002738D4">
      <w:pPr>
        <w:ind w:left="-15" w:right="0"/>
      </w:pPr>
      <w:r>
        <w:t xml:space="preserve">В этой связи обращаюсь к Торгово-промышленной палате и другим общественным объединениям предпринимателей с просьбой усилить работу с предприятиями по сокращению «теневого» бизнеса. </w:t>
      </w:r>
    </w:p>
    <w:p w:rsidR="00271505" w:rsidRDefault="002738D4">
      <w:pPr>
        <w:ind w:left="-15" w:right="0"/>
      </w:pPr>
      <w:r>
        <w:t>Важнейшие организационные механизмы по улучшению деловой и предпринимат</w:t>
      </w:r>
      <w:r>
        <w:t>ельской среды отражены в Стандарте Агентства стратегических инициатив.</w:t>
      </w:r>
      <w:r>
        <w:rPr>
          <w:sz w:val="28"/>
        </w:rPr>
        <w:t xml:space="preserve"> </w:t>
      </w:r>
    </w:p>
    <w:p w:rsidR="00271505" w:rsidRDefault="002738D4">
      <w:pPr>
        <w:ind w:left="-15" w:right="0"/>
      </w:pPr>
      <w:r>
        <w:t xml:space="preserve">В рамках анализа реализации Стандарта в республике экспертами АСИ высказан ряд предложений по дальнейшему совершенствованию работы. </w:t>
      </w:r>
    </w:p>
    <w:p w:rsidR="00271505" w:rsidRDefault="002738D4">
      <w:pPr>
        <w:spacing w:after="216" w:line="259" w:lineRule="auto"/>
        <w:ind w:left="10" w:right="133" w:hanging="10"/>
        <w:jc w:val="center"/>
      </w:pPr>
      <w:r>
        <w:t>Агентству инвестиционного развития республики необх</w:t>
      </w:r>
      <w:r>
        <w:t>одимо:</w:t>
      </w:r>
      <w:r>
        <w:rPr>
          <w:sz w:val="28"/>
        </w:rPr>
        <w:t xml:space="preserve"> </w:t>
      </w:r>
    </w:p>
    <w:p w:rsidR="00271505" w:rsidRDefault="002738D4">
      <w:pPr>
        <w:numPr>
          <w:ilvl w:val="0"/>
          <w:numId w:val="4"/>
        </w:numPr>
        <w:ind w:right="0"/>
      </w:pPr>
      <w:r>
        <w:t xml:space="preserve">В полном объеме обеспечить сопровождение инвестиционных проектов в режиме «одного окна» </w:t>
      </w:r>
      <w:r>
        <w:rPr>
          <w:sz w:val="24"/>
        </w:rPr>
        <w:t xml:space="preserve"> </w:t>
      </w:r>
    </w:p>
    <w:p w:rsidR="00271505" w:rsidRDefault="002738D4">
      <w:pPr>
        <w:numPr>
          <w:ilvl w:val="0"/>
          <w:numId w:val="4"/>
        </w:numPr>
        <w:ind w:right="0"/>
      </w:pPr>
      <w:r>
        <w:t>Повысить эффективность функционирования канала прямой связи с инвестором.</w:t>
      </w:r>
      <w:r>
        <w:rPr>
          <w:sz w:val="24"/>
        </w:rPr>
        <w:t xml:space="preserve"> </w:t>
      </w:r>
    </w:p>
    <w:p w:rsidR="00271505" w:rsidRDefault="002738D4">
      <w:pPr>
        <w:numPr>
          <w:ilvl w:val="0"/>
          <w:numId w:val="4"/>
        </w:numPr>
        <w:ind w:right="0"/>
      </w:pPr>
      <w:r>
        <w:t>Обеспечить представление актуальной информации для инвесторов о республике на инвестиционном портале.</w:t>
      </w:r>
      <w:r>
        <w:rPr>
          <w:sz w:val="24"/>
        </w:rPr>
        <w:t xml:space="preserve"> </w:t>
      </w:r>
    </w:p>
    <w:p w:rsidR="00271505" w:rsidRDefault="002738D4">
      <w:pPr>
        <w:ind w:left="-15" w:right="0"/>
      </w:pPr>
      <w:r>
        <w:t>Министерству информатизации и связи необходимо завершить создание Инвестиционной карты республики, которая должна обеспечивать презентабельное отображени</w:t>
      </w:r>
      <w:r>
        <w:t xml:space="preserve">е для бизнеса отраслевых пространственных данных об инвестиционных и инфраструктурных объектах </w:t>
      </w:r>
      <w:r>
        <w:rPr>
          <w:sz w:val="28"/>
        </w:rPr>
        <w:t xml:space="preserve"> </w:t>
      </w:r>
    </w:p>
    <w:p w:rsidR="00271505" w:rsidRDefault="002738D4">
      <w:pPr>
        <w:ind w:left="-15" w:right="0"/>
      </w:pPr>
      <w:r>
        <w:t>Здесь необходимо ориентироваться, прежде всего, на потребности самих инвесторов и бизнес-сообщества, которые и дают окончательную оценку инвестиционного и пред</w:t>
      </w:r>
      <w:r>
        <w:t>принимательского климата в республике работе, вкладывая средства в создание новых производств.</w:t>
      </w:r>
      <w:r>
        <w:rPr>
          <w:sz w:val="28"/>
        </w:rPr>
        <w:t xml:space="preserve"> </w:t>
      </w:r>
    </w:p>
    <w:p w:rsidR="00271505" w:rsidRDefault="002738D4">
      <w:pPr>
        <w:ind w:left="-15" w:right="0"/>
      </w:pPr>
      <w:r>
        <w:t>Сегодня нами ведется работа по апробации Муниципального стандарта Республики Татарстан, разработанного и одобренного Агентством стратегических инициатив и экспе</w:t>
      </w:r>
      <w:r>
        <w:t>ртным сообществом. В текущем году муниципальным образованиям необходимо обеспечить максимальную его реализацию у себя на территориях. Здесь также важно обеспечить обратную связь муниципалитетов с предпринимателями на местах.</w:t>
      </w:r>
      <w:r>
        <w:rPr>
          <w:sz w:val="28"/>
        </w:rPr>
        <w:t xml:space="preserve"> </w:t>
      </w:r>
    </w:p>
    <w:p w:rsidR="00271505" w:rsidRDefault="002738D4">
      <w:pPr>
        <w:ind w:left="-15" w:right="0"/>
      </w:pPr>
      <w:r>
        <w:t>Активное участие в этой работе</w:t>
      </w:r>
      <w:r>
        <w:t xml:space="preserve"> должен принимать Центр поддержки предпринимательства. В прошлом году открыты Горячие линии по вопросу развития и поддержки предпринимательства и для жалоб и предложений по работе организаций инфраструктуры. В текущем году планируется создание Колл-центра.</w:t>
      </w:r>
      <w:r>
        <w:rPr>
          <w:sz w:val="28"/>
        </w:rPr>
        <w:t xml:space="preserve"> </w:t>
      </w:r>
    </w:p>
    <w:p w:rsidR="00271505" w:rsidRDefault="002738D4">
      <w:pPr>
        <w:ind w:left="-15" w:right="0"/>
      </w:pPr>
      <w:r>
        <w:t xml:space="preserve">Важным институтом для бизнеса, направленным на решение проблемы формирования спроса, является механизм государственного и муниципального заказа.  </w:t>
      </w:r>
    </w:p>
    <w:p w:rsidR="00271505" w:rsidRDefault="002738D4">
      <w:pPr>
        <w:ind w:left="-15" w:right="0"/>
      </w:pPr>
      <w:r>
        <w:t>Очевидно, что малые предприятия не должны полагаться на гарантированный госзаказ, необходимо работать над п</w:t>
      </w:r>
      <w:r>
        <w:t xml:space="preserve">овышением конкурентоспособности своей продукции. </w:t>
      </w:r>
    </w:p>
    <w:p w:rsidR="00271505" w:rsidRDefault="002738D4">
      <w:pPr>
        <w:ind w:left="-15" w:right="0"/>
      </w:pPr>
      <w:r>
        <w:t xml:space="preserve">Однако и со стороны государства необходимы соответствующие меры поддержки. </w:t>
      </w:r>
    </w:p>
    <w:p w:rsidR="00271505" w:rsidRDefault="002738D4">
      <w:pPr>
        <w:ind w:left="-15" w:right="0"/>
      </w:pPr>
      <w:r>
        <w:t>По результатам проведенных в 2013 году торгов ряд государственных и муниципальных заказчиков не выполнили законодательно установле</w:t>
      </w:r>
      <w:r>
        <w:t xml:space="preserve">нный 10-процентный норматив по доле субъектов малого предпринимательства в общем числе контрактов на поставку товаров, работ и услуг для государственных и муниципальных нужд. </w:t>
      </w:r>
    </w:p>
    <w:p w:rsidR="00271505" w:rsidRDefault="002738D4">
      <w:pPr>
        <w:ind w:left="-15" w:right="0"/>
      </w:pPr>
      <w:r>
        <w:t>С января текущего года вступило в силу законодательство о федеральной контрактно</w:t>
      </w:r>
      <w:r>
        <w:t>й системе, которое</w:t>
      </w:r>
      <w:r>
        <w:rPr>
          <w:color w:val="FF0000"/>
        </w:rPr>
        <w:t xml:space="preserve"> </w:t>
      </w:r>
      <w:r>
        <w:t xml:space="preserve">предполагает квотирование закупок в секторе малого предпринимательства в 2014 году на уровне не ниже 15 процентов. </w:t>
      </w:r>
    </w:p>
    <w:p w:rsidR="00271505" w:rsidRDefault="002738D4">
      <w:pPr>
        <w:ind w:left="-15" w:right="0"/>
      </w:pPr>
      <w:r>
        <w:t>В целях поддержки предпринимательства, уважаемый Рустам Нургалиевич, предлагаем рассмотреть вопрос об увеличении рекоменд</w:t>
      </w:r>
      <w:r>
        <w:t xml:space="preserve">ованного размера квоты на уровне Республики Татарстан до 20 процентов, что может стать фактором дополнительного стимулирования спроса на продукцию, производимую местными предпринимателями. </w:t>
      </w:r>
    </w:p>
    <w:p w:rsidR="00271505" w:rsidRDefault="002738D4">
      <w:pPr>
        <w:ind w:left="-15" w:right="0"/>
      </w:pPr>
      <w:r>
        <w:t>Дополнительно, для стимулирования спроса на продукцию местных прои</w:t>
      </w:r>
      <w:r>
        <w:t>зводителей необходимо уделить внимание работе в части организации торгов регулируемых заказчиков. Так, сравнительный анализ сделок, проведенный Агентством по госзаказу, показал, что с начала 2013 года у республиканских производителей приобретено товаров, р</w:t>
      </w:r>
      <w:r>
        <w:t xml:space="preserve">абот, услуг на 1 процент из общего количества сделок. </w:t>
      </w:r>
    </w:p>
    <w:p w:rsidR="00271505" w:rsidRDefault="002738D4">
      <w:pPr>
        <w:ind w:left="-15" w:right="0"/>
      </w:pPr>
      <w:r>
        <w:t>В целях расширения возможностей местных производителей по участию в рынке закупок регулируемых заказчиков, Министерством экономики Республики Татарстан и Агентством по государственному заказу Республик</w:t>
      </w:r>
      <w:r>
        <w:t xml:space="preserve">и Татарстан разработан специальный ресурс «Биржевая площадка». </w:t>
      </w:r>
    </w:p>
    <w:p w:rsidR="00271505" w:rsidRDefault="002738D4">
      <w:pPr>
        <w:ind w:left="-15" w:right="0"/>
      </w:pPr>
      <w:r>
        <w:t xml:space="preserve">В настоящее время этот ресурс используется </w:t>
      </w:r>
      <w:r>
        <w:t xml:space="preserve">при организации закупок продукции, товаров, работ и услуг строительного назначения, производимых предприятиями нефтехимического комплекса Республики Татарстан.  </w:t>
      </w:r>
    </w:p>
    <w:p w:rsidR="00271505" w:rsidRDefault="002738D4">
      <w:pPr>
        <w:ind w:left="-15" w:right="0"/>
      </w:pPr>
      <w:r>
        <w:t>Однако, данная система организации закупок, с нашей точки зрения, должна быть распространена и</w:t>
      </w:r>
      <w:r>
        <w:t xml:space="preserve"> на некоторые другие категории товаров, работ, услуг, производимых в республике. </w:t>
      </w:r>
    </w:p>
    <w:p w:rsidR="00271505" w:rsidRDefault="002738D4">
      <w:pPr>
        <w:ind w:left="-15" w:right="0"/>
      </w:pPr>
      <w:r>
        <w:t xml:space="preserve">Для этого Государственному комитету РТ по закупкам необходимо при согласовании документации осуществлять мониторинг закупок регулируемых заказчиков в части учета предложения </w:t>
      </w:r>
      <w:r>
        <w:t xml:space="preserve">республиканских производителей. </w:t>
      </w:r>
    </w:p>
    <w:p w:rsidR="00271505" w:rsidRDefault="002738D4">
      <w:pPr>
        <w:ind w:left="-15" w:right="0"/>
      </w:pPr>
      <w:r>
        <w:t>Дополнительно, считаем целесообразным общественным организациям республики, представляющим интересы предпринимательского сообщества, провести разъяснительную работу в части выгод от участия местных предпринимателей на ресур</w:t>
      </w:r>
      <w:r>
        <w:t xml:space="preserve">се «Биржевая площадка». </w:t>
      </w:r>
    </w:p>
    <w:p w:rsidR="00271505" w:rsidRDefault="002738D4">
      <w:pPr>
        <w:ind w:left="-15" w:right="0"/>
      </w:pPr>
      <w:r>
        <w:t>Также для решения проблемы формирования спроса и расширения рынков сбыта для субъектов малого и среднего предпринимательства необходимо создание системы кооперационных связей с крупным бизнесом. Одним из таких примеров является КИП</w:t>
      </w:r>
      <w:r>
        <w:t xml:space="preserve"> «Мастер», резиденты которого изначально ориентировались на производство продукции для ОАО «КАМАЗ». Данный опыт может быть использован и в других перспективных направлениях – производстве полимеров, строительных материалов и т.д. </w:t>
      </w:r>
    </w:p>
    <w:p w:rsidR="00271505" w:rsidRDefault="002738D4">
      <w:pPr>
        <w:ind w:left="-15" w:right="0"/>
      </w:pPr>
      <w:r>
        <w:t>Третьим основным направле</w:t>
      </w:r>
      <w:r>
        <w:t xml:space="preserve">нием совершенствования деловой среды является повышение доступности инфраструктуры и ресурсов. </w:t>
      </w:r>
    </w:p>
    <w:p w:rsidR="00271505" w:rsidRDefault="002738D4">
      <w:pPr>
        <w:ind w:left="-15" w:right="0"/>
      </w:pPr>
      <w:r>
        <w:t>В республике сформирована развитая инфраструктура имущественной поддержки предпринимательства. Совокупный объём выручки резидентов всех площадок за 2013 год сос</w:t>
      </w:r>
      <w:r>
        <w:t xml:space="preserve">тавил 95 млрд. рублей. </w:t>
      </w:r>
    </w:p>
    <w:p w:rsidR="00271505" w:rsidRDefault="002738D4">
      <w:pPr>
        <w:ind w:left="-15" w:right="0"/>
      </w:pPr>
      <w:r>
        <w:t xml:space="preserve">Необходимо отметить, что более половины промышленных парков являются частными.  </w:t>
      </w:r>
    </w:p>
    <w:p w:rsidR="00271505" w:rsidRDefault="002738D4">
      <w:pPr>
        <w:ind w:left="-15" w:right="0"/>
      </w:pPr>
      <w:r>
        <w:t xml:space="preserve">Эти площадки показывают динамичные темпы роста в части расширения своей инфраструктуры и заполняемости резидентами. Частный промышленный парк – это не </w:t>
      </w:r>
      <w:r>
        <w:t xml:space="preserve">просто совокупность объектов инфраструктуры, а полноценный бизнес, который должен приносить прибыль. </w:t>
      </w:r>
    </w:p>
    <w:p w:rsidR="00271505" w:rsidRDefault="002738D4">
      <w:pPr>
        <w:ind w:left="-15" w:right="0"/>
      </w:pPr>
      <w:r>
        <w:t xml:space="preserve">В 2014 году планируется оказать господдержку наиболее подготовленным промышленным площадкам. </w:t>
      </w:r>
    </w:p>
    <w:p w:rsidR="00271505" w:rsidRDefault="002738D4">
      <w:pPr>
        <w:ind w:left="-15" w:right="0"/>
      </w:pPr>
      <w:r>
        <w:t>В этой связи хочу обратить внимание глав муниципальных образ</w:t>
      </w:r>
      <w:r>
        <w:t xml:space="preserve">ований на необходимость активно включаться в эту работу. </w:t>
      </w:r>
    </w:p>
    <w:p w:rsidR="00271505" w:rsidRDefault="002738D4">
      <w:pPr>
        <w:ind w:left="-15" w:right="0"/>
      </w:pPr>
      <w:r>
        <w:t>На базе промышленных площадок мы должны создать эффективную модель государственно-частного партнерства с учетом приоритетов, целей и особенностей социально-экономического развития каждого муниципаль</w:t>
      </w:r>
      <w:r>
        <w:t xml:space="preserve">ного образования. Министерство экономики уже ведет работу в этом направлении с районами республики. </w:t>
      </w:r>
    </w:p>
    <w:p w:rsidR="00271505" w:rsidRDefault="002738D4">
      <w:pPr>
        <w:ind w:left="-15" w:right="0"/>
      </w:pPr>
      <w:r>
        <w:t xml:space="preserve">В числе наиболее острых проблем предпринимателями отмечается доступность финансовых ресурсов. Прежде всего, это высокие ставки по кредитам, а также </w:t>
      </w:r>
      <w:r>
        <w:t xml:space="preserve">сложность и длительность прохождения соответствующих банковских процедур. </w:t>
      </w:r>
    </w:p>
    <w:p w:rsidR="00271505" w:rsidRDefault="002738D4">
      <w:pPr>
        <w:ind w:left="-15" w:right="0"/>
      </w:pPr>
      <w:r>
        <w:t>Заемные средства для малого бизнеса обходятся значительно дороже, чем для крупного. При достаточно низкой рентабельности продаж практически вся прибыль предприятий может уйти на обс</w:t>
      </w:r>
      <w:r>
        <w:t xml:space="preserve">луживание кредитов.  </w:t>
      </w:r>
    </w:p>
    <w:p w:rsidR="00271505" w:rsidRDefault="002738D4">
      <w:pPr>
        <w:ind w:left="-15" w:right="0"/>
      </w:pPr>
      <w:r>
        <w:t xml:space="preserve">Можно выделить два основных направления снижения стоимости заемных средств для малого и среднего бизнеса: </w:t>
      </w:r>
    </w:p>
    <w:p w:rsidR="00271505" w:rsidRDefault="002738D4">
      <w:pPr>
        <w:numPr>
          <w:ilvl w:val="0"/>
          <w:numId w:val="5"/>
        </w:numPr>
        <w:ind w:right="0"/>
      </w:pPr>
      <w:r>
        <w:t>Внедрение программ предоставления целевых субсидий на компенсацию процентных ставок по банковским продуктам, ориентированным на</w:t>
      </w:r>
      <w:r>
        <w:t xml:space="preserve"> малый, микробизнес и индивидуальных предпринимателей. В данном направлении в настоящее время готовятся предложения на 2014 год. </w:t>
      </w:r>
    </w:p>
    <w:p w:rsidR="00271505" w:rsidRDefault="002738D4">
      <w:pPr>
        <w:numPr>
          <w:ilvl w:val="0"/>
          <w:numId w:val="5"/>
        </w:numPr>
        <w:ind w:right="0"/>
      </w:pPr>
      <w:r>
        <w:t>Снижение банковских рисков при кредитовании за счет предоставления государственных гарантий. Механизм предоставления поручител</w:t>
      </w:r>
      <w:r>
        <w:t>ьств Гарантийного фонда Республики Татарстан позволяет субъектам малого и среднего предпринимательства, не имеющим достаточного обеспечения, снизить процентную ставку по кредитам на 67 п.п. Одной из значимых проблем, отмеченных предпринимателями, также явл</w:t>
      </w:r>
      <w:r>
        <w:t xml:space="preserve">яется дефицит квалифицированных специалистов. </w:t>
      </w:r>
    </w:p>
    <w:p w:rsidR="00271505" w:rsidRDefault="002738D4">
      <w:pPr>
        <w:spacing w:after="43"/>
        <w:ind w:left="-15" w:right="0"/>
      </w:pPr>
      <w:r>
        <w:t xml:space="preserve">Сегодня в республике ведется работа по приведению системы подготовки кадров в соответствие с потребностями экономики: </w:t>
      </w:r>
    </w:p>
    <w:p w:rsidR="00271505" w:rsidRDefault="002738D4">
      <w:pPr>
        <w:numPr>
          <w:ilvl w:val="0"/>
          <w:numId w:val="6"/>
        </w:numPr>
        <w:spacing w:after="43"/>
        <w:ind w:right="0"/>
      </w:pPr>
      <w:r>
        <w:t>формируется государственный заказ на подготовку специалистов, основанный на прогнозе кадро</w:t>
      </w:r>
      <w:r>
        <w:t xml:space="preserve">вой потребности по данным предприятий; </w:t>
      </w:r>
    </w:p>
    <w:p w:rsidR="00271505" w:rsidRDefault="002738D4">
      <w:pPr>
        <w:numPr>
          <w:ilvl w:val="0"/>
          <w:numId w:val="6"/>
        </w:numPr>
        <w:ind w:right="0"/>
      </w:pPr>
      <w:r>
        <w:t xml:space="preserve">создаются ресурсные центры по подготовке кадров в приоритетных секторах экономики. </w:t>
      </w:r>
    </w:p>
    <w:p w:rsidR="00271505" w:rsidRDefault="002738D4">
      <w:pPr>
        <w:ind w:left="-15" w:right="0"/>
      </w:pPr>
      <w:r>
        <w:t xml:space="preserve">Вместе с тем, данные мероприятия, в основном, ориентированы на крупные и средние предприятия. Необходима адаптация этих мероприятий </w:t>
      </w:r>
      <w:r>
        <w:t xml:space="preserve">для малого бизнеса. </w:t>
      </w:r>
    </w:p>
    <w:p w:rsidR="00271505" w:rsidRDefault="002738D4">
      <w:pPr>
        <w:ind w:left="-15" w:right="0"/>
      </w:pPr>
      <w:r>
        <w:t>Для этого нам необходимо знать перспективную потребность малых предприятий в кадрах. В этой связи считаем целесообразным муниципалитетам совместно с Центром поддержки предпринимательства организовать сбор данной информации для последую</w:t>
      </w:r>
      <w:r>
        <w:t xml:space="preserve">щего ее учета при формировании государственного заказа на подготовку специалистов. Общественные объединения предпринимателей просим организовать соответствующую информационную кампанию. </w:t>
      </w:r>
    </w:p>
    <w:p w:rsidR="00271505" w:rsidRDefault="002738D4">
      <w:pPr>
        <w:ind w:left="-15" w:right="0"/>
      </w:pPr>
      <w:r>
        <w:t>Еще одним направлением улучшения условий ведения бизнеса является пов</w:t>
      </w:r>
      <w:r>
        <w:t xml:space="preserve">ышение эффективности мероприятий государственной поддержки субъектов предпринимательства. </w:t>
      </w:r>
    </w:p>
    <w:p w:rsidR="00271505" w:rsidRDefault="002738D4">
      <w:pPr>
        <w:ind w:left="-15" w:right="0"/>
      </w:pPr>
      <w:r>
        <w:t>В 2013 году завершилась реализация очередной трехлетней программы поддержки. За период ее реализации в развитие малого и среднего предпринимательства Республики Тата</w:t>
      </w:r>
      <w:r>
        <w:t xml:space="preserve">рстан было инвестировано более 5 млрд. руб. </w:t>
      </w:r>
    </w:p>
    <w:p w:rsidR="00271505" w:rsidRDefault="002738D4">
      <w:pPr>
        <w:ind w:left="-15" w:right="0"/>
      </w:pPr>
      <w:r>
        <w:t>Свыше 60% от финансирования было направлено на цели создания и развития объектов инфраструктуры имущественной поддержки малого и среднего предпринимательства, порядка 40% – на финансовую поддержку предпринимател</w:t>
      </w:r>
      <w:r>
        <w:t xml:space="preserve">ей. </w:t>
      </w:r>
    </w:p>
    <w:p w:rsidR="00271505" w:rsidRDefault="002738D4">
      <w:pPr>
        <w:ind w:left="-15" w:right="0"/>
      </w:pPr>
      <w:r>
        <w:t xml:space="preserve">По результатам реализации всех мероприятий финансовой поддержки в 2013 году, нам удалось в 1,5 раза расширить охват предпринимателей мерами поддержки. </w:t>
      </w:r>
    </w:p>
    <w:p w:rsidR="00271505" w:rsidRDefault="002738D4">
      <w:pPr>
        <w:ind w:left="-15" w:right="0"/>
      </w:pPr>
      <w:r>
        <w:t>Получателями поддержки, в основном, являются предприниматели, реализующие бизнес-проекты в сфере об</w:t>
      </w:r>
      <w:r>
        <w:t xml:space="preserve">рабатывающих производств и сельского хозяйства. При непосредственной поддержке государства в секторе малого и среднего предпринимательства сохранено и создано около 10000 рабочих мест. </w:t>
      </w:r>
    </w:p>
    <w:p w:rsidR="00271505" w:rsidRDefault="002738D4">
      <w:pPr>
        <w:ind w:left="-15" w:right="0"/>
      </w:pPr>
      <w:r>
        <w:t>При реализации программ поддержки мы столкнулись с недостаточно высоко</w:t>
      </w:r>
      <w:r>
        <w:t xml:space="preserve">й активностью местных администраций в части реализации общереспубликанских мер поддержки в ряде районов республики. При этом наименьшая активность, в основном, была отмечена в районах с низким уровнем развития малого и среднего бизнеса. </w:t>
      </w:r>
    </w:p>
    <w:p w:rsidR="00271505" w:rsidRDefault="002738D4">
      <w:pPr>
        <w:ind w:left="-15" w:right="0"/>
      </w:pPr>
      <w:r>
        <w:t>Вместе с тем, от р</w:t>
      </w:r>
      <w:r>
        <w:t xml:space="preserve">азвития малого и среднего предпринимательства во многом зависит налоговая база муниципалитетов. </w:t>
      </w:r>
    </w:p>
    <w:p w:rsidR="00271505" w:rsidRDefault="002738D4">
      <w:pPr>
        <w:ind w:left="-15" w:right="0"/>
      </w:pPr>
      <w:r>
        <w:t>Хочу отметить, что в настоящее время идет формирование программы поддержки предпринимательства на 2014 год. Значительное внимание здесь планируется уделить раз</w:t>
      </w:r>
      <w:r>
        <w:t xml:space="preserve">витию малого и среднего бизнеса в инновационной сфере. </w:t>
      </w:r>
    </w:p>
    <w:p w:rsidR="00271505" w:rsidRDefault="002738D4">
      <w:pPr>
        <w:ind w:left="-15" w:right="0"/>
      </w:pPr>
      <w:r>
        <w:t xml:space="preserve">В этой связи прошу муниципалитеты принять активное участие в данной работе и направлять нам свои предложения. </w:t>
      </w:r>
    </w:p>
    <w:p w:rsidR="00271505" w:rsidRDefault="002738D4">
      <w:pPr>
        <w:ind w:left="-15" w:right="0"/>
      </w:pPr>
      <w:r>
        <w:t>Поддержка предпринимателей непосредственно на местах позволит более адресно доводить помо</w:t>
      </w:r>
      <w:r>
        <w:t xml:space="preserve">щь до местного предпринимательского сообщества и увяжет направление поддержки с социально-экономической ситуацией в районе. </w:t>
      </w:r>
    </w:p>
    <w:p w:rsidR="00271505" w:rsidRDefault="002738D4">
      <w:pPr>
        <w:spacing w:after="44"/>
        <w:ind w:left="-15" w:right="0"/>
      </w:pPr>
      <w:r>
        <w:t xml:space="preserve">В целом, с целью повышения эффективности мероприятий государственной поддержки предпринимательства, необходимы: </w:t>
      </w:r>
    </w:p>
    <w:p w:rsidR="00271505" w:rsidRDefault="002738D4">
      <w:pPr>
        <w:numPr>
          <w:ilvl w:val="0"/>
          <w:numId w:val="7"/>
        </w:numPr>
        <w:ind w:right="0"/>
      </w:pPr>
      <w:r>
        <w:t xml:space="preserve">Реализация дифференцированного подхода при определении вида поддержки, который можно изложить как прогрессию: «инициативный гражданин – индивидуальный предприниматель – микропредприятие – малый бизнес». </w:t>
      </w:r>
    </w:p>
    <w:p w:rsidR="00271505" w:rsidRDefault="002738D4">
      <w:pPr>
        <w:numPr>
          <w:ilvl w:val="0"/>
          <w:numId w:val="7"/>
        </w:numPr>
        <w:spacing w:after="48"/>
        <w:ind w:right="0"/>
      </w:pPr>
      <w:r>
        <w:t>Расширение охвата предпринимателей различными мерами</w:t>
      </w:r>
      <w:r>
        <w:t xml:space="preserve"> государственной поддержки, в том числе за счет введения новых форм финансовой и иной поддержки. </w:t>
      </w:r>
    </w:p>
    <w:p w:rsidR="00271505" w:rsidRDefault="002738D4">
      <w:pPr>
        <w:numPr>
          <w:ilvl w:val="0"/>
          <w:numId w:val="7"/>
        </w:numPr>
        <w:ind w:right="0"/>
      </w:pPr>
      <w:r>
        <w:t xml:space="preserve">Стимулирование органов местного самоуправления по реализации муниципальных программ развития малого и среднего предпринимательства. </w:t>
      </w:r>
    </w:p>
    <w:p w:rsidR="00271505" w:rsidRDefault="002738D4">
      <w:pPr>
        <w:spacing w:after="215" w:line="259" w:lineRule="auto"/>
        <w:ind w:left="708" w:right="0" w:firstLine="0"/>
      </w:pPr>
      <w:r>
        <w:t xml:space="preserve">Уважаемые коллеги! </w:t>
      </w:r>
    </w:p>
    <w:p w:rsidR="00271505" w:rsidRDefault="002738D4">
      <w:pPr>
        <w:ind w:left="-15" w:right="0"/>
      </w:pPr>
      <w:r>
        <w:t>Переч</w:t>
      </w:r>
      <w:r>
        <w:t xml:space="preserve">исленные направления развития малого и среднего бизнеса определены в ходе совместной работы с предпринимательским сообществом республики. </w:t>
      </w:r>
    </w:p>
    <w:p w:rsidR="00271505" w:rsidRDefault="002738D4">
      <w:pPr>
        <w:ind w:left="-15" w:right="0"/>
      </w:pPr>
      <w:r>
        <w:t>Результатом данной работы является «Дорожная карта» развития предпринимательства Республики Татарстан на 2014-2016 го</w:t>
      </w:r>
      <w:r>
        <w:t xml:space="preserve">ды. </w:t>
      </w:r>
    </w:p>
    <w:p w:rsidR="00271505" w:rsidRDefault="002738D4">
      <w:pPr>
        <w:ind w:left="-15" w:right="0"/>
      </w:pPr>
      <w:r>
        <w:t>Основная задача «Дорожной карты» – увязать мероприятия государственной поддержки с проблемами предпринимательства, сбалансированно распределить усилия, сформировать условия и достичь устойчивой положительной динамики в развитии малого и среднего бизне</w:t>
      </w:r>
      <w:r>
        <w:t xml:space="preserve">са в Республике Татарстан. </w:t>
      </w:r>
    </w:p>
    <w:p w:rsidR="00271505" w:rsidRDefault="002738D4">
      <w:pPr>
        <w:spacing w:line="259" w:lineRule="auto"/>
        <w:ind w:left="708" w:right="0" w:firstLine="0"/>
      </w:pPr>
      <w:r>
        <w:t xml:space="preserve">Спасибо за внимание! </w:t>
      </w:r>
    </w:p>
    <w:sectPr w:rsidR="00271505">
      <w:headerReference w:type="even" r:id="rId7"/>
      <w:headerReference w:type="default" r:id="rId8"/>
      <w:headerReference w:type="first" r:id="rId9"/>
      <w:pgSz w:w="11906" w:h="16838"/>
      <w:pgMar w:top="1214" w:right="565" w:bottom="128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38D4">
      <w:pPr>
        <w:spacing w:after="0" w:line="240" w:lineRule="auto"/>
      </w:pPr>
      <w:r>
        <w:separator/>
      </w:r>
    </w:p>
  </w:endnote>
  <w:endnote w:type="continuationSeparator" w:id="0">
    <w:p w:rsidR="00000000" w:rsidRDefault="002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38D4">
      <w:pPr>
        <w:spacing w:after="0" w:line="240" w:lineRule="auto"/>
      </w:pPr>
      <w:r>
        <w:separator/>
      </w:r>
    </w:p>
  </w:footnote>
  <w:footnote w:type="continuationSeparator" w:id="0">
    <w:p w:rsidR="00000000" w:rsidRDefault="0027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05" w:rsidRDefault="002738D4">
    <w:pPr>
      <w:spacing w:after="0" w:line="259" w:lineRule="auto"/>
      <w:ind w:left="7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271505" w:rsidRDefault="002738D4">
    <w:pPr>
      <w:spacing w:after="0" w:line="259" w:lineRule="auto"/>
      <w:ind w:left="708" w:right="0" w:firstLine="0"/>
      <w:jc w:val="lef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05" w:rsidRDefault="002738D4">
    <w:pPr>
      <w:spacing w:after="0" w:line="259" w:lineRule="auto"/>
      <w:ind w:left="70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738D4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271505" w:rsidRDefault="002738D4">
    <w:pPr>
      <w:spacing w:after="0" w:line="259" w:lineRule="auto"/>
      <w:ind w:left="708" w:right="0" w:firstLine="0"/>
      <w:jc w:val="lef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05" w:rsidRDefault="0027150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F0E"/>
    <w:multiLevelType w:val="hybridMultilevel"/>
    <w:tmpl w:val="8744E6D2"/>
    <w:lvl w:ilvl="0" w:tplc="9F920DD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5279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7A6B2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2087C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9C77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04349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CE3A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44997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0AF3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C80878"/>
    <w:multiLevelType w:val="hybridMultilevel"/>
    <w:tmpl w:val="25463536"/>
    <w:lvl w:ilvl="0" w:tplc="D90413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6A2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C99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2D5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30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C1E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EE2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E79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E82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270C6"/>
    <w:multiLevelType w:val="hybridMultilevel"/>
    <w:tmpl w:val="5F7A376A"/>
    <w:lvl w:ilvl="0" w:tplc="6506147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A4A3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0A07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1CC3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B0C906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8C86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4014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420B1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B43E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17367"/>
    <w:multiLevelType w:val="hybridMultilevel"/>
    <w:tmpl w:val="034A9878"/>
    <w:lvl w:ilvl="0" w:tplc="D1D45D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805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52014B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7EDC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7F64B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E6C4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1C03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04576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8EC2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DC7322"/>
    <w:multiLevelType w:val="hybridMultilevel"/>
    <w:tmpl w:val="409E4EB2"/>
    <w:lvl w:ilvl="0" w:tplc="9572B9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183D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7E47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3257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B7E2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F853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E005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C499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FA2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F51D1"/>
    <w:multiLevelType w:val="hybridMultilevel"/>
    <w:tmpl w:val="F342BDA4"/>
    <w:lvl w:ilvl="0" w:tplc="AF52753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314B17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1C78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9ED33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C6F0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1E2F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1605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3DCF9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1669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4D7BF6"/>
    <w:multiLevelType w:val="hybridMultilevel"/>
    <w:tmpl w:val="9A44D138"/>
    <w:lvl w:ilvl="0" w:tplc="CDFCD3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8CBE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D2A0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9605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9C9E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6ED8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2219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E0B7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EA6D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05"/>
    <w:rsid w:val="00271505"/>
    <w:rsid w:val="002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2238-8C80-42FA-A71D-2A6885DA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38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Кормакова</dc:creator>
  <cp:keywords/>
  <cp:lastModifiedBy>Ёлкина Светлана Анатольевна</cp:lastModifiedBy>
  <cp:revision>2</cp:revision>
  <dcterms:created xsi:type="dcterms:W3CDTF">2018-08-08T15:46:00Z</dcterms:created>
  <dcterms:modified xsi:type="dcterms:W3CDTF">2018-08-08T15:46:00Z</dcterms:modified>
</cp:coreProperties>
</file>